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59" w:rsidRPr="002B3E7A" w:rsidRDefault="004B5E59" w:rsidP="004B5E59">
      <w:pPr>
        <w:keepNext/>
        <w:keepLines/>
        <w:tabs>
          <w:tab w:val="left" w:pos="3544"/>
        </w:tabs>
        <w:spacing w:before="480"/>
        <w:jc w:val="center"/>
        <w:outlineLvl w:val="0"/>
        <w:rPr>
          <w:rFonts w:ascii="Garamond" w:eastAsia="MS PMincho" w:hAnsi="Garamond" w:cs="Times New Roman"/>
          <w:b/>
          <w:bCs/>
          <w:color w:val="365F91"/>
          <w:sz w:val="28"/>
          <w:szCs w:val="28"/>
          <w:lang w:eastAsia="en-US"/>
        </w:rPr>
      </w:pPr>
      <w:bookmarkStart w:id="0" w:name="_GoBack"/>
      <w:bookmarkEnd w:id="0"/>
      <w:r w:rsidRPr="002B3E7A">
        <w:rPr>
          <w:rFonts w:ascii="Garamond" w:eastAsia="MS PMincho" w:hAnsi="Garamond" w:cs="Times New Roman"/>
          <w:b/>
          <w:bCs/>
          <w:color w:val="365F91"/>
          <w:sz w:val="28"/>
          <w:szCs w:val="28"/>
          <w:lang w:eastAsia="en-US"/>
        </w:rPr>
        <w:t>Les agressions sans contact physique</w:t>
      </w:r>
      <w:r>
        <w:rPr>
          <w:rFonts w:ascii="Garamond" w:eastAsia="MS PMincho" w:hAnsi="Garamond" w:cs="Times New Roman"/>
          <w:b/>
          <w:bCs/>
          <w:color w:val="365F91"/>
          <w:sz w:val="28"/>
          <w:szCs w:val="28"/>
          <w:lang w:eastAsia="en-US"/>
        </w:rPr>
        <w:t xml:space="preserve"> I</w:t>
      </w:r>
    </w:p>
    <w:p w:rsidR="004B5E59" w:rsidRPr="002B3E7A" w:rsidRDefault="004B5E59" w:rsidP="004B5E59">
      <w:pPr>
        <w:tabs>
          <w:tab w:val="left" w:pos="851"/>
          <w:tab w:val="left" w:pos="3544"/>
        </w:tabs>
        <w:spacing w:before="240"/>
        <w:ind w:firstLine="851"/>
        <w:jc w:val="both"/>
        <w:rPr>
          <w:rFonts w:ascii="Garamond" w:eastAsia="Garamond" w:hAnsi="Garamond" w:cs="Times New Roman"/>
          <w:sz w:val="24"/>
          <w:szCs w:val="22"/>
          <w:lang w:eastAsia="en-US"/>
        </w:rPr>
      </w:pPr>
      <w:r>
        <w:rPr>
          <w:rFonts w:ascii="Garamond" w:eastAsia="Garamond" w:hAnsi="Garamond" w:cs="Times New Roman"/>
          <w:sz w:val="24"/>
          <w:szCs w:val="22"/>
          <w:lang w:eastAsia="en-US"/>
        </w:rPr>
        <w:t>Q</w:t>
      </w:r>
      <w:r w:rsidRPr="002B3E7A">
        <w:rPr>
          <w:rFonts w:ascii="Garamond" w:eastAsia="Garamond" w:hAnsi="Garamond" w:cs="Times New Roman"/>
          <w:sz w:val="24"/>
          <w:szCs w:val="22"/>
          <w:lang w:eastAsia="en-US"/>
        </w:rPr>
        <w:t xml:space="preserve">uand on demande aux enquêtés s’ils ont été agressés, on relève qu’une grande partie des réponses ne correspondent pas à une agression physique, qu’il n’y a eu ni blessures ni même coups. Il peut alors s’agir de menaces, d’attitudes menaçantes, de racket, voire même de vol de force réduit à un simple arrachage sans autre violence. Il est utile d’évaluer leur évolution dans la mesure où ils peuvent témoigner d’une violence de basse intensité qui traduit une rugosité sociale, une difficulté de coexistence. Mais l’interrogation demande un certain savoir-faire pour ne pas risquer d’inciter l’enquêté à chercher des cas qu’il n’aurait pas classé spontanément parmi les agressions mais qu’il va extirper de sa mémoire pour satisfaire l’enquêteur qui l’interroge en détail sur les menaces, les injures… </w:t>
      </w:r>
    </w:p>
    <w:p w:rsidR="004B5E59" w:rsidRDefault="004B5E59" w:rsidP="004B5E59">
      <w:pPr>
        <w:tabs>
          <w:tab w:val="left" w:pos="3544"/>
        </w:tabs>
        <w:jc w:val="both"/>
        <w:rPr>
          <w:rFonts w:ascii="Garamond" w:eastAsia="Garamond" w:hAnsi="Garamond" w:cs="Times New Roman"/>
          <w:sz w:val="24"/>
          <w:szCs w:val="22"/>
          <w:lang w:eastAsia="en-US"/>
        </w:rPr>
      </w:pPr>
    </w:p>
    <w:p w:rsidR="004B5E59" w:rsidRDefault="004B5E59" w:rsidP="004B5E59">
      <w:pPr>
        <w:tabs>
          <w:tab w:val="left" w:pos="3544"/>
        </w:tabs>
        <w:spacing w:after="120"/>
        <w:jc w:val="center"/>
        <w:rPr>
          <w:rFonts w:ascii="Garamond" w:eastAsia="Garamond" w:hAnsi="Garamond" w:cs="Times New Roman"/>
          <w:i/>
          <w:sz w:val="20"/>
          <w:lang w:eastAsia="en-US"/>
        </w:rPr>
      </w:pPr>
      <w:r w:rsidRPr="002B3E7A">
        <w:rPr>
          <w:rFonts w:ascii="Garamond" w:eastAsia="Garamond" w:hAnsi="Garamond" w:cs="Times New Roman"/>
          <w:i/>
          <w:sz w:val="20"/>
          <w:lang w:eastAsia="en-US"/>
        </w:rPr>
        <w:t xml:space="preserve">Tableau </w:t>
      </w:r>
      <w:r>
        <w:rPr>
          <w:rFonts w:ascii="Garamond" w:eastAsia="Garamond" w:hAnsi="Garamond" w:cs="Times New Roman"/>
          <w:i/>
          <w:sz w:val="20"/>
          <w:lang w:eastAsia="en-US"/>
        </w:rPr>
        <w:t>1</w:t>
      </w:r>
      <w:r w:rsidRPr="002B3E7A">
        <w:rPr>
          <w:rFonts w:ascii="Garamond" w:eastAsia="Garamond" w:hAnsi="Garamond" w:cs="Times New Roman"/>
          <w:i/>
          <w:sz w:val="20"/>
          <w:lang w:eastAsia="en-US"/>
        </w:rPr>
        <w:t xml:space="preserve"> : </w:t>
      </w:r>
      <w:r>
        <w:rPr>
          <w:rFonts w:ascii="Garamond" w:eastAsia="Garamond" w:hAnsi="Garamond" w:cs="Times New Roman"/>
          <w:i/>
          <w:sz w:val="20"/>
          <w:lang w:eastAsia="en-US"/>
        </w:rPr>
        <w:t>A</w:t>
      </w:r>
      <w:r w:rsidRPr="002B3E7A">
        <w:rPr>
          <w:rFonts w:ascii="Garamond" w:eastAsia="Garamond" w:hAnsi="Garamond" w:cs="Times New Roman"/>
          <w:i/>
          <w:sz w:val="20"/>
          <w:lang w:eastAsia="en-US"/>
        </w:rPr>
        <w:t>gressions sans contact physique</w:t>
      </w:r>
      <w:r>
        <w:rPr>
          <w:rFonts w:ascii="Garamond" w:eastAsia="Garamond" w:hAnsi="Garamond" w:cs="Times New Roman"/>
          <w:i/>
          <w:sz w:val="20"/>
          <w:lang w:eastAsia="en-US"/>
        </w:rPr>
        <w:t xml:space="preserve"> (</w:t>
      </w:r>
      <w:r w:rsidRPr="002B3E7A">
        <w:rPr>
          <w:rFonts w:ascii="Garamond" w:eastAsia="Garamond" w:hAnsi="Garamond" w:cs="Times New Roman"/>
          <w:i/>
          <w:sz w:val="20"/>
          <w:lang w:eastAsia="en-US"/>
        </w:rPr>
        <w:t>enquêtes nationales</w:t>
      </w:r>
      <w:r>
        <w:rPr>
          <w:rFonts w:ascii="Garamond" w:eastAsia="Garamond" w:hAnsi="Garamond" w:cs="Times New Roman"/>
          <w:i/>
          <w:sz w:val="20"/>
          <w:lang w:eastAsia="en-US"/>
        </w:rPr>
        <w:t>-</w:t>
      </w:r>
      <w:r w:rsidRPr="002B3E7A">
        <w:rPr>
          <w:rFonts w:ascii="Garamond" w:eastAsia="Garamond" w:hAnsi="Garamond" w:cs="Times New Roman"/>
          <w:i/>
          <w:sz w:val="20"/>
          <w:lang w:eastAsia="en-US"/>
        </w:rPr>
        <w:t>1984-201</w:t>
      </w:r>
      <w:r>
        <w:rPr>
          <w:rFonts w:ascii="Garamond" w:eastAsia="Garamond" w:hAnsi="Garamond" w:cs="Times New Roman"/>
          <w:i/>
          <w:sz w:val="20"/>
          <w:lang w:eastAsia="en-US"/>
        </w:rPr>
        <w:t>6)</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35"/>
        <w:gridCol w:w="1585"/>
        <w:gridCol w:w="1765"/>
        <w:gridCol w:w="1603"/>
      </w:tblGrid>
      <w:tr w:rsidR="004B5E59" w:rsidRPr="002B3E7A" w:rsidTr="0054041E">
        <w:trPr>
          <w:cantSplit/>
          <w:tblHeader/>
          <w:jc w:val="center"/>
        </w:trPr>
        <w:tc>
          <w:tcPr>
            <w:tcW w:w="1835" w:type="dxa"/>
            <w:tcBorders>
              <w:top w:val="nil"/>
              <w:left w:val="nil"/>
              <w:bottom w:val="double" w:sz="4" w:space="0" w:color="808080"/>
            </w:tcBorders>
            <w:vAlign w:val="center"/>
          </w:tcPr>
          <w:p w:rsidR="004B5E59" w:rsidRPr="002B3E7A" w:rsidRDefault="004B5E59" w:rsidP="0054041E">
            <w:pPr>
              <w:tabs>
                <w:tab w:val="left" w:pos="3544"/>
              </w:tabs>
              <w:rPr>
                <w:rFonts w:ascii="Garamond" w:eastAsia="Times New Roman" w:hAnsi="Garamond" w:cs="Times New Roman"/>
                <w:sz w:val="18"/>
                <w:szCs w:val="18"/>
                <w:lang w:eastAsia="en-US"/>
              </w:rPr>
            </w:pPr>
          </w:p>
        </w:tc>
        <w:tc>
          <w:tcPr>
            <w:tcW w:w="1585" w:type="dxa"/>
            <w:tcBorders>
              <w:bottom w:val="double" w:sz="4" w:space="0" w:color="808080"/>
            </w:tcBorders>
            <w:vAlign w:val="center"/>
          </w:tcPr>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Times New Roman" w:hAnsi="Garamond" w:cs="Times New Roman"/>
                <w:sz w:val="18"/>
                <w:szCs w:val="18"/>
                <w:lang w:eastAsia="en-US"/>
              </w:rPr>
              <w:t>% d’agressés sans contact dans la population</w:t>
            </w:r>
          </w:p>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Times New Roman" w:hAnsi="Garamond" w:cs="Times New Roman"/>
                <w:sz w:val="18"/>
                <w:szCs w:val="18"/>
                <w:lang w:eastAsia="en-US"/>
              </w:rPr>
              <w:t>(prévalence)</w:t>
            </w:r>
          </w:p>
        </w:tc>
        <w:tc>
          <w:tcPr>
            <w:tcW w:w="1765" w:type="dxa"/>
            <w:tcBorders>
              <w:bottom w:val="double" w:sz="4" w:space="0" w:color="808080"/>
            </w:tcBorders>
            <w:vAlign w:val="center"/>
          </w:tcPr>
          <w:p w:rsidR="004B5E59" w:rsidRPr="002B3E7A" w:rsidRDefault="004B5E59" w:rsidP="0054041E">
            <w:pPr>
              <w:tabs>
                <w:tab w:val="left" w:pos="3544"/>
              </w:tabs>
              <w:jc w:val="right"/>
              <w:rPr>
                <w:rFonts w:ascii="Garamond" w:eastAsia="Times New Roman" w:hAnsi="Garamond" w:cs="Times New Roman"/>
                <w:i/>
                <w:iCs/>
                <w:sz w:val="18"/>
                <w:szCs w:val="18"/>
                <w:lang w:eastAsia="en-US"/>
              </w:rPr>
            </w:pPr>
            <w:r w:rsidRPr="002B3E7A">
              <w:rPr>
                <w:rFonts w:ascii="Garamond" w:eastAsia="Times New Roman" w:hAnsi="Garamond" w:cs="Times New Roman"/>
                <w:i/>
                <w:iCs/>
                <w:sz w:val="18"/>
                <w:szCs w:val="18"/>
                <w:lang w:eastAsia="en-US"/>
              </w:rPr>
              <w:t>nombre moyen d’agressions sans contact par victime</w:t>
            </w:r>
          </w:p>
          <w:p w:rsidR="004B5E59" w:rsidRPr="002B3E7A" w:rsidRDefault="004B5E59" w:rsidP="0054041E">
            <w:pPr>
              <w:tabs>
                <w:tab w:val="left" w:pos="3544"/>
              </w:tabs>
              <w:jc w:val="right"/>
              <w:rPr>
                <w:rFonts w:ascii="Garamond" w:eastAsia="Times New Roman" w:hAnsi="Garamond" w:cs="Times New Roman"/>
                <w:i/>
                <w:iCs/>
                <w:sz w:val="18"/>
                <w:szCs w:val="18"/>
                <w:lang w:eastAsia="en-US"/>
              </w:rPr>
            </w:pPr>
            <w:r w:rsidRPr="002B3E7A">
              <w:rPr>
                <w:rFonts w:ascii="Garamond" w:eastAsia="Times New Roman" w:hAnsi="Garamond" w:cs="Times New Roman"/>
                <w:i/>
                <w:iCs/>
                <w:sz w:val="18"/>
                <w:szCs w:val="18"/>
                <w:lang w:eastAsia="en-US"/>
              </w:rPr>
              <w:t>(multivictimation)</w:t>
            </w:r>
          </w:p>
        </w:tc>
        <w:tc>
          <w:tcPr>
            <w:tcW w:w="1603" w:type="dxa"/>
            <w:tcBorders>
              <w:bottom w:val="double" w:sz="4" w:space="0" w:color="808080"/>
            </w:tcBorders>
            <w:vAlign w:val="center"/>
          </w:tcPr>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Times New Roman" w:hAnsi="Garamond" w:cs="Times New Roman"/>
                <w:sz w:val="18"/>
                <w:szCs w:val="18"/>
                <w:lang w:eastAsia="en-US"/>
              </w:rPr>
              <w:t>% d’agressions sans contact dans la population</w:t>
            </w:r>
          </w:p>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Times New Roman" w:hAnsi="Garamond" w:cs="Times New Roman"/>
                <w:sz w:val="18"/>
                <w:szCs w:val="18"/>
                <w:lang w:eastAsia="en-US"/>
              </w:rPr>
              <w:t>(incidence)</w:t>
            </w:r>
          </w:p>
        </w:tc>
      </w:tr>
      <w:tr w:rsidR="004B5E59" w:rsidRPr="002B3E7A" w:rsidTr="0054041E">
        <w:trPr>
          <w:cantSplit/>
          <w:jc w:val="center"/>
        </w:trPr>
        <w:tc>
          <w:tcPr>
            <w:tcW w:w="1835" w:type="dxa"/>
            <w:tcBorders>
              <w:top w:val="double" w:sz="4" w:space="0" w:color="808080"/>
              <w:bottom w:val="doubleWave" w:sz="6" w:space="0" w:color="auto"/>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CESDIP 1984-85</w:t>
            </w:r>
          </w:p>
        </w:tc>
        <w:tc>
          <w:tcPr>
            <w:tcW w:w="1585" w:type="dxa"/>
            <w:tcBorders>
              <w:top w:val="double" w:sz="4" w:space="0" w:color="808080"/>
              <w:bottom w:val="doubleWave" w:sz="6" w:space="0" w:color="auto"/>
            </w:tcBorders>
            <w:vAlign w:val="center"/>
          </w:tcPr>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Times New Roman" w:hAnsi="Garamond" w:cs="Times New Roman"/>
                <w:sz w:val="18"/>
                <w:szCs w:val="18"/>
                <w:lang w:eastAsia="en-US"/>
              </w:rPr>
              <w:t>2,09</w:t>
            </w:r>
          </w:p>
        </w:tc>
        <w:tc>
          <w:tcPr>
            <w:tcW w:w="1765" w:type="dxa"/>
            <w:tcBorders>
              <w:top w:val="double" w:sz="4" w:space="0" w:color="808080"/>
              <w:bottom w:val="doubleWave" w:sz="6" w:space="0" w:color="auto"/>
            </w:tcBorders>
            <w:vAlign w:val="center"/>
          </w:tcPr>
          <w:p w:rsidR="004B5E59" w:rsidRPr="002B3E7A" w:rsidRDefault="004B5E59" w:rsidP="0054041E">
            <w:pPr>
              <w:tabs>
                <w:tab w:val="left" w:pos="3544"/>
              </w:tabs>
              <w:jc w:val="right"/>
              <w:rPr>
                <w:rFonts w:ascii="Garamond" w:eastAsia="Times New Roman" w:hAnsi="Garamond" w:cs="Times New Roman"/>
                <w:i/>
                <w:iCs/>
                <w:sz w:val="18"/>
                <w:szCs w:val="18"/>
                <w:lang w:eastAsia="en-US"/>
              </w:rPr>
            </w:pPr>
            <w:r w:rsidRPr="002B3E7A">
              <w:rPr>
                <w:rFonts w:ascii="Garamond" w:eastAsia="Times New Roman" w:hAnsi="Garamond" w:cs="Times New Roman"/>
                <w:i/>
                <w:iCs/>
                <w:sz w:val="18"/>
                <w:szCs w:val="18"/>
                <w:lang w:eastAsia="en-US"/>
              </w:rPr>
              <w:t>1,31</w:t>
            </w:r>
          </w:p>
        </w:tc>
        <w:tc>
          <w:tcPr>
            <w:tcW w:w="1603" w:type="dxa"/>
            <w:tcBorders>
              <w:top w:val="double" w:sz="4" w:space="0" w:color="808080"/>
              <w:bottom w:val="doubleWave" w:sz="6" w:space="0" w:color="auto"/>
            </w:tcBorders>
            <w:vAlign w:val="center"/>
          </w:tcPr>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Times New Roman" w:hAnsi="Garamond" w:cs="Times New Roman"/>
                <w:sz w:val="18"/>
                <w:szCs w:val="18"/>
                <w:lang w:eastAsia="en-US"/>
              </w:rPr>
              <w:t>2,74</w:t>
            </w:r>
          </w:p>
        </w:tc>
      </w:tr>
      <w:tr w:rsidR="004B5E59" w:rsidRPr="002B3E7A" w:rsidTr="0054041E">
        <w:trPr>
          <w:cantSplit/>
          <w:jc w:val="center"/>
        </w:trPr>
        <w:tc>
          <w:tcPr>
            <w:tcW w:w="1835" w:type="dxa"/>
            <w:tcBorders>
              <w:top w:val="doubleWave" w:sz="6" w:space="0" w:color="auto"/>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1994-95</w:t>
            </w:r>
          </w:p>
        </w:tc>
        <w:tc>
          <w:tcPr>
            <w:tcW w:w="1585" w:type="dxa"/>
            <w:tcBorders>
              <w:top w:val="doubleWave" w:sz="6" w:space="0" w:color="auto"/>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2,49</w:t>
            </w:r>
          </w:p>
        </w:tc>
        <w:tc>
          <w:tcPr>
            <w:tcW w:w="1765" w:type="dxa"/>
            <w:tcBorders>
              <w:top w:val="doubleWave" w:sz="6" w:space="0" w:color="auto"/>
            </w:tcBorders>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1,89</w:t>
            </w:r>
          </w:p>
        </w:tc>
        <w:tc>
          <w:tcPr>
            <w:tcW w:w="1603" w:type="dxa"/>
            <w:tcBorders>
              <w:top w:val="doubleWave" w:sz="6" w:space="0" w:color="auto"/>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4,71</w:t>
            </w:r>
          </w:p>
        </w:tc>
      </w:tr>
      <w:tr w:rsidR="004B5E59" w:rsidRPr="002B3E7A" w:rsidTr="0054041E">
        <w:trPr>
          <w:cantSplit/>
          <w:jc w:val="center"/>
        </w:trPr>
        <w:tc>
          <w:tcPr>
            <w:tcW w:w="1835" w:type="dxa"/>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1995-96</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3,39</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1,91</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6,49</w:t>
            </w:r>
          </w:p>
        </w:tc>
      </w:tr>
      <w:tr w:rsidR="004B5E59" w:rsidRPr="002B3E7A" w:rsidTr="0054041E">
        <w:trPr>
          <w:cantSplit/>
          <w:jc w:val="center"/>
        </w:trPr>
        <w:tc>
          <w:tcPr>
            <w:tcW w:w="1835" w:type="dxa"/>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1996-97</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3,40</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1,74</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5,92</w:t>
            </w:r>
          </w:p>
        </w:tc>
      </w:tr>
      <w:tr w:rsidR="004B5E59" w:rsidRPr="002B3E7A" w:rsidTr="0054041E">
        <w:trPr>
          <w:cantSplit/>
          <w:jc w:val="center"/>
        </w:trPr>
        <w:tc>
          <w:tcPr>
            <w:tcW w:w="1835" w:type="dxa"/>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1997-98</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2,98</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1,59</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4,73</w:t>
            </w:r>
          </w:p>
        </w:tc>
      </w:tr>
      <w:tr w:rsidR="004B5E59" w:rsidRPr="002B3E7A" w:rsidTr="0054041E">
        <w:trPr>
          <w:cantSplit/>
          <w:jc w:val="center"/>
        </w:trPr>
        <w:tc>
          <w:tcPr>
            <w:tcW w:w="1835" w:type="dxa"/>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1998-99</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4,12</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2,21</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9,09</w:t>
            </w:r>
          </w:p>
        </w:tc>
      </w:tr>
      <w:tr w:rsidR="004B5E59" w:rsidRPr="002B3E7A" w:rsidTr="0054041E">
        <w:trPr>
          <w:cantSplit/>
          <w:jc w:val="center"/>
        </w:trPr>
        <w:tc>
          <w:tcPr>
            <w:tcW w:w="1835" w:type="dxa"/>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1999-2000</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4,21</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2,28</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9,59</w:t>
            </w:r>
          </w:p>
        </w:tc>
      </w:tr>
      <w:tr w:rsidR="004B5E59" w:rsidRPr="002B3E7A" w:rsidTr="0054041E">
        <w:trPr>
          <w:cantSplit/>
          <w:jc w:val="center"/>
        </w:trPr>
        <w:tc>
          <w:tcPr>
            <w:tcW w:w="1835" w:type="dxa"/>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2000-01</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4,57</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2,19</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10,00</w:t>
            </w:r>
          </w:p>
        </w:tc>
      </w:tr>
      <w:tr w:rsidR="004B5E59" w:rsidRPr="002B3E7A" w:rsidTr="0054041E">
        <w:trPr>
          <w:cantSplit/>
          <w:jc w:val="center"/>
        </w:trPr>
        <w:tc>
          <w:tcPr>
            <w:tcW w:w="1835" w:type="dxa"/>
            <w:tcBorders>
              <w:bottom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 xml:space="preserve">EPCV 2001-02 </w:t>
            </w:r>
          </w:p>
        </w:tc>
        <w:tc>
          <w:tcPr>
            <w:tcW w:w="1585" w:type="dxa"/>
            <w:tcBorders>
              <w:bottom w:val="single" w:sz="4" w:space="0" w:color="808080"/>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4,27</w:t>
            </w:r>
          </w:p>
        </w:tc>
        <w:tc>
          <w:tcPr>
            <w:tcW w:w="1765" w:type="dxa"/>
            <w:tcBorders>
              <w:bottom w:val="single" w:sz="4" w:space="0" w:color="808080"/>
            </w:tcBorders>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2,23</w:t>
            </w:r>
          </w:p>
        </w:tc>
        <w:tc>
          <w:tcPr>
            <w:tcW w:w="1603" w:type="dxa"/>
            <w:tcBorders>
              <w:bottom w:val="single" w:sz="4" w:space="0" w:color="808080"/>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9,52</w:t>
            </w:r>
          </w:p>
        </w:tc>
      </w:tr>
      <w:tr w:rsidR="004B5E59" w:rsidRPr="002B3E7A" w:rsidTr="0054041E">
        <w:trPr>
          <w:cantSplit/>
          <w:jc w:val="center"/>
        </w:trPr>
        <w:tc>
          <w:tcPr>
            <w:tcW w:w="1835" w:type="dxa"/>
            <w:tcBorders>
              <w:bottom w:val="single" w:sz="12"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2002-03</w:t>
            </w:r>
          </w:p>
        </w:tc>
        <w:tc>
          <w:tcPr>
            <w:tcW w:w="1585" w:type="dxa"/>
            <w:tcBorders>
              <w:bottom w:val="single" w:sz="12" w:space="0" w:color="808080"/>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4,09</w:t>
            </w:r>
          </w:p>
        </w:tc>
        <w:tc>
          <w:tcPr>
            <w:tcW w:w="1765" w:type="dxa"/>
            <w:tcBorders>
              <w:bottom w:val="single" w:sz="12" w:space="0" w:color="808080"/>
            </w:tcBorders>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2,30</w:t>
            </w:r>
          </w:p>
        </w:tc>
        <w:tc>
          <w:tcPr>
            <w:tcW w:w="1603" w:type="dxa"/>
            <w:tcBorders>
              <w:bottom w:val="single" w:sz="12" w:space="0" w:color="808080"/>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9,41</w:t>
            </w:r>
          </w:p>
        </w:tc>
      </w:tr>
      <w:tr w:rsidR="004B5E59" w:rsidRPr="002B3E7A" w:rsidTr="0054041E">
        <w:trPr>
          <w:cantSplit/>
          <w:jc w:val="center"/>
        </w:trPr>
        <w:tc>
          <w:tcPr>
            <w:tcW w:w="1835" w:type="dxa"/>
            <w:tcBorders>
              <w:top w:val="single" w:sz="12" w:space="0" w:color="808080"/>
              <w:bottom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2003-04</w:t>
            </w:r>
          </w:p>
        </w:tc>
        <w:tc>
          <w:tcPr>
            <w:tcW w:w="1585" w:type="dxa"/>
            <w:tcBorders>
              <w:top w:val="single" w:sz="12" w:space="0" w:color="808080"/>
              <w:bottom w:val="single" w:sz="4" w:space="0" w:color="808080"/>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4,35</w:t>
            </w:r>
          </w:p>
        </w:tc>
        <w:tc>
          <w:tcPr>
            <w:tcW w:w="1765" w:type="dxa"/>
            <w:tcBorders>
              <w:top w:val="single" w:sz="12" w:space="0" w:color="808080"/>
              <w:bottom w:val="single" w:sz="4" w:space="0" w:color="808080"/>
            </w:tcBorders>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2,35</w:t>
            </w:r>
          </w:p>
        </w:tc>
        <w:tc>
          <w:tcPr>
            <w:tcW w:w="1603" w:type="dxa"/>
            <w:tcBorders>
              <w:top w:val="single" w:sz="12" w:space="0" w:color="808080"/>
              <w:bottom w:val="single" w:sz="4" w:space="0" w:color="808080"/>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10,21</w:t>
            </w:r>
          </w:p>
        </w:tc>
      </w:tr>
      <w:tr w:rsidR="004B5E59" w:rsidRPr="002B3E7A" w:rsidTr="0054041E">
        <w:trPr>
          <w:cantSplit/>
          <w:jc w:val="center"/>
        </w:trPr>
        <w:tc>
          <w:tcPr>
            <w:tcW w:w="1835" w:type="dxa"/>
            <w:tcBorders>
              <w:bottom w:val="thickThinLargeGap" w:sz="6" w:space="0" w:color="auto"/>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EPCV 2004-05</w:t>
            </w:r>
          </w:p>
        </w:tc>
        <w:tc>
          <w:tcPr>
            <w:tcW w:w="1585" w:type="dxa"/>
            <w:tcBorders>
              <w:bottom w:val="thickThinLargeGap" w:sz="6" w:space="0" w:color="auto"/>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7,65</w:t>
            </w:r>
          </w:p>
        </w:tc>
        <w:tc>
          <w:tcPr>
            <w:tcW w:w="1765" w:type="dxa"/>
            <w:tcBorders>
              <w:bottom w:val="thickThinLargeGap" w:sz="6" w:space="0" w:color="auto"/>
            </w:tcBorders>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2,54</w:t>
            </w:r>
          </w:p>
        </w:tc>
        <w:tc>
          <w:tcPr>
            <w:tcW w:w="1603" w:type="dxa"/>
            <w:tcBorders>
              <w:bottom w:val="thickThinLargeGap" w:sz="6" w:space="0" w:color="auto"/>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19,43</w:t>
            </w:r>
          </w:p>
        </w:tc>
      </w:tr>
      <w:tr w:rsidR="004B5E59" w:rsidRPr="002B3E7A" w:rsidTr="0054041E">
        <w:trPr>
          <w:cantSplit/>
          <w:jc w:val="center"/>
        </w:trPr>
        <w:tc>
          <w:tcPr>
            <w:tcW w:w="1835" w:type="dxa"/>
            <w:tcBorders>
              <w:top w:val="thickThinLargeGap" w:sz="6" w:space="0" w:color="auto"/>
              <w:bottom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CVS 2005-06</w:t>
            </w:r>
          </w:p>
        </w:tc>
        <w:tc>
          <w:tcPr>
            <w:tcW w:w="1585" w:type="dxa"/>
            <w:tcBorders>
              <w:top w:val="thickThinLargeGap" w:sz="6" w:space="0" w:color="auto"/>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15,77</w:t>
            </w:r>
          </w:p>
        </w:tc>
        <w:tc>
          <w:tcPr>
            <w:tcW w:w="1765" w:type="dxa"/>
            <w:tcBorders>
              <w:top w:val="thickThinLargeGap" w:sz="6" w:space="0" w:color="auto"/>
            </w:tcBorders>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2,70</w:t>
            </w:r>
          </w:p>
        </w:tc>
        <w:tc>
          <w:tcPr>
            <w:tcW w:w="1603" w:type="dxa"/>
            <w:tcBorders>
              <w:top w:val="thickThinLargeGap" w:sz="6" w:space="0" w:color="auto"/>
            </w:tcBorders>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42,64</w:t>
            </w:r>
          </w:p>
        </w:tc>
      </w:tr>
      <w:tr w:rsidR="004B5E59" w:rsidRPr="002B3E7A" w:rsidTr="0054041E">
        <w:trPr>
          <w:cantSplit/>
          <w:jc w:val="center"/>
        </w:trPr>
        <w:tc>
          <w:tcPr>
            <w:tcW w:w="1835" w:type="dxa"/>
            <w:tcBorders>
              <w:left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 xml:space="preserve">CVS 2006-07 </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16,20</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2,59</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41,89</w:t>
            </w:r>
          </w:p>
        </w:tc>
      </w:tr>
      <w:tr w:rsidR="004B5E59" w:rsidRPr="002B3E7A" w:rsidTr="0054041E">
        <w:trPr>
          <w:cantSplit/>
          <w:jc w:val="center"/>
        </w:trPr>
        <w:tc>
          <w:tcPr>
            <w:tcW w:w="1835" w:type="dxa"/>
            <w:tcBorders>
              <w:left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CVS 2007-08</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15,45</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2,64</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40,73</w:t>
            </w:r>
          </w:p>
        </w:tc>
      </w:tr>
      <w:tr w:rsidR="004B5E59" w:rsidRPr="002B3E7A" w:rsidTr="0054041E">
        <w:trPr>
          <w:cantSplit/>
          <w:jc w:val="center"/>
        </w:trPr>
        <w:tc>
          <w:tcPr>
            <w:tcW w:w="1835" w:type="dxa"/>
            <w:tcBorders>
              <w:left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CVS 2008-09</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14,66</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2,53</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37,10</w:t>
            </w:r>
          </w:p>
        </w:tc>
      </w:tr>
      <w:tr w:rsidR="004B5E59" w:rsidRPr="002B3E7A" w:rsidTr="0054041E">
        <w:trPr>
          <w:cantSplit/>
          <w:jc w:val="center"/>
        </w:trPr>
        <w:tc>
          <w:tcPr>
            <w:tcW w:w="1835" w:type="dxa"/>
            <w:tcBorders>
              <w:left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CVS 2009-10</w:t>
            </w:r>
          </w:p>
        </w:tc>
        <w:tc>
          <w:tcPr>
            <w:tcW w:w="1585"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14,64</w:t>
            </w:r>
          </w:p>
        </w:tc>
        <w:tc>
          <w:tcPr>
            <w:tcW w:w="1765" w:type="dxa"/>
            <w:vAlign w:val="bottom"/>
          </w:tcPr>
          <w:p w:rsidR="004B5E59" w:rsidRPr="002B3E7A" w:rsidRDefault="004B5E59" w:rsidP="0054041E">
            <w:pPr>
              <w:tabs>
                <w:tab w:val="left" w:pos="3544"/>
              </w:tabs>
              <w:jc w:val="right"/>
              <w:rPr>
                <w:rFonts w:ascii="Garamond" w:eastAsia="Times New Roman" w:hAnsi="Garamond" w:cs="Times New Roman"/>
                <w:i/>
                <w:color w:val="000000"/>
                <w:sz w:val="18"/>
                <w:szCs w:val="18"/>
                <w:lang w:eastAsia="en-US"/>
              </w:rPr>
            </w:pPr>
            <w:r w:rsidRPr="002B3E7A">
              <w:rPr>
                <w:rFonts w:ascii="Garamond" w:eastAsia="Times New Roman" w:hAnsi="Garamond" w:cs="Times New Roman"/>
                <w:i/>
                <w:color w:val="000000"/>
                <w:sz w:val="18"/>
                <w:szCs w:val="18"/>
                <w:lang w:eastAsia="en-US"/>
              </w:rPr>
              <w:t>2,63</w:t>
            </w:r>
          </w:p>
        </w:tc>
        <w:tc>
          <w:tcPr>
            <w:tcW w:w="1603" w:type="dxa"/>
            <w:vAlign w:val="bottom"/>
          </w:tcPr>
          <w:p w:rsidR="004B5E59" w:rsidRPr="002B3E7A" w:rsidRDefault="004B5E59" w:rsidP="0054041E">
            <w:pPr>
              <w:tabs>
                <w:tab w:val="left" w:pos="3544"/>
              </w:tabs>
              <w:jc w:val="center"/>
              <w:rPr>
                <w:rFonts w:ascii="Garamond" w:eastAsia="Times New Roman" w:hAnsi="Garamond" w:cs="Times New Roman"/>
                <w:color w:val="000000"/>
                <w:sz w:val="18"/>
                <w:szCs w:val="18"/>
                <w:lang w:eastAsia="en-US"/>
              </w:rPr>
            </w:pPr>
            <w:r w:rsidRPr="002B3E7A">
              <w:rPr>
                <w:rFonts w:ascii="Garamond" w:eastAsia="Times New Roman" w:hAnsi="Garamond" w:cs="Times New Roman"/>
                <w:color w:val="000000"/>
                <w:sz w:val="18"/>
                <w:szCs w:val="18"/>
                <w:lang w:eastAsia="en-US"/>
              </w:rPr>
              <w:t>38,55</w:t>
            </w:r>
          </w:p>
        </w:tc>
      </w:tr>
      <w:tr w:rsidR="004B5E59" w:rsidRPr="002B3E7A" w:rsidTr="0054041E">
        <w:trPr>
          <w:cantSplit/>
          <w:jc w:val="center"/>
        </w:trPr>
        <w:tc>
          <w:tcPr>
            <w:tcW w:w="1835" w:type="dxa"/>
            <w:tcBorders>
              <w:left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Times New Roman" w:hAnsi="Garamond" w:cs="Times New Roman"/>
                <w:bCs/>
                <w:sz w:val="18"/>
                <w:szCs w:val="18"/>
                <w:lang w:eastAsia="en-US"/>
              </w:rPr>
              <w:t>CVS 2010-11</w:t>
            </w:r>
          </w:p>
        </w:tc>
        <w:tc>
          <w:tcPr>
            <w:tcW w:w="1585" w:type="dxa"/>
            <w:vAlign w:val="center"/>
          </w:tcPr>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Times New Roman" w:hAnsi="Garamond" w:cs="Times New Roman"/>
                <w:sz w:val="18"/>
                <w:szCs w:val="18"/>
                <w:lang w:eastAsia="en-US"/>
              </w:rPr>
              <w:t>13,83</w:t>
            </w:r>
          </w:p>
        </w:tc>
        <w:tc>
          <w:tcPr>
            <w:tcW w:w="1765" w:type="dxa"/>
            <w:vAlign w:val="center"/>
          </w:tcPr>
          <w:p w:rsidR="004B5E59" w:rsidRPr="002B3E7A" w:rsidRDefault="004B5E59" w:rsidP="0054041E">
            <w:pPr>
              <w:tabs>
                <w:tab w:val="left" w:pos="3544"/>
              </w:tabs>
              <w:jc w:val="right"/>
              <w:rPr>
                <w:rFonts w:ascii="Garamond" w:eastAsia="Times New Roman" w:hAnsi="Garamond" w:cs="Times New Roman"/>
                <w:i/>
                <w:iCs/>
                <w:sz w:val="18"/>
                <w:szCs w:val="18"/>
                <w:lang w:eastAsia="en-US"/>
              </w:rPr>
            </w:pPr>
            <w:r w:rsidRPr="002B3E7A">
              <w:rPr>
                <w:rFonts w:ascii="Garamond" w:eastAsia="Times New Roman" w:hAnsi="Garamond" w:cs="Times New Roman"/>
                <w:i/>
                <w:iCs/>
                <w:sz w:val="18"/>
                <w:szCs w:val="18"/>
                <w:lang w:eastAsia="en-US"/>
              </w:rPr>
              <w:t>2,51</w:t>
            </w:r>
          </w:p>
        </w:tc>
        <w:tc>
          <w:tcPr>
            <w:tcW w:w="1603" w:type="dxa"/>
            <w:vAlign w:val="center"/>
          </w:tcPr>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Times New Roman" w:hAnsi="Garamond" w:cs="Times New Roman"/>
                <w:sz w:val="18"/>
                <w:szCs w:val="18"/>
                <w:lang w:eastAsia="en-US"/>
              </w:rPr>
              <w:t>34,72</w:t>
            </w:r>
          </w:p>
        </w:tc>
      </w:tr>
      <w:tr w:rsidR="004B5E59" w:rsidRPr="002B3E7A" w:rsidTr="0054041E">
        <w:trPr>
          <w:cantSplit/>
          <w:jc w:val="center"/>
        </w:trPr>
        <w:tc>
          <w:tcPr>
            <w:tcW w:w="1835" w:type="dxa"/>
            <w:tcBorders>
              <w:left w:val="single" w:sz="4" w:space="0" w:color="808080"/>
            </w:tcBorders>
            <w:vAlign w:val="center"/>
          </w:tcPr>
          <w:p w:rsidR="004B5E59" w:rsidRPr="002B3E7A" w:rsidRDefault="004B5E59" w:rsidP="0054041E">
            <w:pPr>
              <w:tabs>
                <w:tab w:val="left" w:pos="3544"/>
              </w:tabs>
              <w:rPr>
                <w:rFonts w:ascii="Garamond" w:eastAsia="Times New Roman" w:hAnsi="Garamond" w:cs="Times New Roman"/>
                <w:bCs/>
                <w:sz w:val="18"/>
                <w:szCs w:val="18"/>
                <w:lang w:eastAsia="en-US"/>
              </w:rPr>
            </w:pPr>
            <w:r w:rsidRPr="002B3E7A">
              <w:rPr>
                <w:rFonts w:ascii="Garamond" w:eastAsia="Garamond" w:hAnsi="Garamond" w:cs="Times New Roman"/>
                <w:bCs/>
                <w:sz w:val="18"/>
                <w:szCs w:val="18"/>
                <w:lang w:eastAsia="en-US"/>
              </w:rPr>
              <w:t>CVS 2011-12</w:t>
            </w:r>
          </w:p>
        </w:tc>
        <w:tc>
          <w:tcPr>
            <w:tcW w:w="1585" w:type="dxa"/>
            <w:vAlign w:val="center"/>
          </w:tcPr>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Garamond" w:hAnsi="Garamond" w:cs="Times New Roman"/>
                <w:sz w:val="18"/>
                <w:szCs w:val="18"/>
                <w:lang w:eastAsia="en-US"/>
              </w:rPr>
              <w:t>14,80</w:t>
            </w:r>
          </w:p>
        </w:tc>
        <w:tc>
          <w:tcPr>
            <w:tcW w:w="1765" w:type="dxa"/>
            <w:vAlign w:val="center"/>
          </w:tcPr>
          <w:p w:rsidR="004B5E59" w:rsidRPr="002B3E7A" w:rsidRDefault="004B5E59" w:rsidP="0054041E">
            <w:pPr>
              <w:tabs>
                <w:tab w:val="left" w:pos="3544"/>
              </w:tabs>
              <w:jc w:val="right"/>
              <w:rPr>
                <w:rFonts w:ascii="Garamond" w:eastAsia="Times New Roman" w:hAnsi="Garamond" w:cs="Times New Roman"/>
                <w:i/>
                <w:iCs/>
                <w:sz w:val="18"/>
                <w:szCs w:val="18"/>
                <w:lang w:eastAsia="en-US"/>
              </w:rPr>
            </w:pPr>
            <w:r w:rsidRPr="002B3E7A">
              <w:rPr>
                <w:rFonts w:ascii="Garamond" w:eastAsia="Garamond" w:hAnsi="Garamond" w:cs="Times New Roman"/>
                <w:i/>
                <w:iCs/>
                <w:sz w:val="18"/>
                <w:szCs w:val="18"/>
                <w:lang w:eastAsia="en-US"/>
              </w:rPr>
              <w:t>2,69</w:t>
            </w:r>
          </w:p>
        </w:tc>
        <w:tc>
          <w:tcPr>
            <w:tcW w:w="1603" w:type="dxa"/>
            <w:vAlign w:val="center"/>
          </w:tcPr>
          <w:p w:rsidR="004B5E59" w:rsidRPr="002B3E7A" w:rsidRDefault="004B5E59" w:rsidP="0054041E">
            <w:pPr>
              <w:tabs>
                <w:tab w:val="left" w:pos="3544"/>
              </w:tabs>
              <w:jc w:val="center"/>
              <w:rPr>
                <w:rFonts w:ascii="Garamond" w:eastAsia="Times New Roman" w:hAnsi="Garamond" w:cs="Times New Roman"/>
                <w:sz w:val="18"/>
                <w:szCs w:val="18"/>
                <w:lang w:eastAsia="en-US"/>
              </w:rPr>
            </w:pPr>
            <w:r w:rsidRPr="002B3E7A">
              <w:rPr>
                <w:rFonts w:ascii="Garamond" w:eastAsia="Garamond" w:hAnsi="Garamond" w:cs="Times New Roman"/>
                <w:sz w:val="18"/>
                <w:szCs w:val="18"/>
                <w:lang w:eastAsia="en-US"/>
              </w:rPr>
              <w:t>39,87</w:t>
            </w:r>
          </w:p>
        </w:tc>
      </w:tr>
      <w:tr w:rsidR="004B5E59" w:rsidRPr="002B3E7A" w:rsidTr="0054041E">
        <w:trPr>
          <w:cantSplit/>
          <w:jc w:val="center"/>
        </w:trPr>
        <w:tc>
          <w:tcPr>
            <w:tcW w:w="1835" w:type="dxa"/>
            <w:tcBorders>
              <w:left w:val="single" w:sz="4" w:space="0" w:color="808080"/>
            </w:tcBorders>
            <w:vAlign w:val="center"/>
          </w:tcPr>
          <w:p w:rsidR="004B5E59" w:rsidRPr="002B3E7A" w:rsidRDefault="004B5E59" w:rsidP="0054041E">
            <w:pPr>
              <w:tabs>
                <w:tab w:val="left" w:pos="3544"/>
              </w:tabs>
              <w:rPr>
                <w:rFonts w:ascii="Garamond" w:eastAsia="Garamond" w:hAnsi="Garamond" w:cs="Times New Roman"/>
                <w:bCs/>
                <w:sz w:val="18"/>
                <w:szCs w:val="18"/>
                <w:lang w:eastAsia="en-US"/>
              </w:rPr>
            </w:pPr>
            <w:r>
              <w:rPr>
                <w:rFonts w:ascii="Garamond" w:eastAsia="Garamond" w:hAnsi="Garamond" w:cs="Times New Roman"/>
                <w:bCs/>
                <w:sz w:val="18"/>
                <w:szCs w:val="18"/>
                <w:lang w:eastAsia="en-US"/>
              </w:rPr>
              <w:t>CVS 2012-13</w:t>
            </w:r>
          </w:p>
        </w:tc>
        <w:tc>
          <w:tcPr>
            <w:tcW w:w="1585" w:type="dxa"/>
            <w:vAlign w:val="center"/>
          </w:tcPr>
          <w:p w:rsidR="004B5E59" w:rsidRPr="002B3E7A" w:rsidRDefault="004B5E59" w:rsidP="0054041E">
            <w:pPr>
              <w:tabs>
                <w:tab w:val="left" w:pos="3544"/>
              </w:tabs>
              <w:jc w:val="center"/>
              <w:rPr>
                <w:rFonts w:ascii="Garamond" w:eastAsia="Garamond" w:hAnsi="Garamond" w:cs="Times New Roman"/>
                <w:sz w:val="18"/>
                <w:szCs w:val="18"/>
                <w:lang w:eastAsia="en-US"/>
              </w:rPr>
            </w:pPr>
            <w:r>
              <w:rPr>
                <w:rFonts w:ascii="Garamond" w:eastAsia="Garamond" w:hAnsi="Garamond" w:cs="Times New Roman"/>
                <w:sz w:val="18"/>
                <w:szCs w:val="18"/>
                <w:lang w:eastAsia="en-US"/>
              </w:rPr>
              <w:t>14,78</w:t>
            </w:r>
          </w:p>
        </w:tc>
        <w:tc>
          <w:tcPr>
            <w:tcW w:w="1765" w:type="dxa"/>
            <w:vAlign w:val="center"/>
          </w:tcPr>
          <w:p w:rsidR="004B5E59" w:rsidRPr="002B3E7A" w:rsidRDefault="004B5E59" w:rsidP="0054041E">
            <w:pPr>
              <w:tabs>
                <w:tab w:val="left" w:pos="3544"/>
              </w:tabs>
              <w:jc w:val="right"/>
              <w:rPr>
                <w:rFonts w:ascii="Garamond" w:eastAsia="Garamond" w:hAnsi="Garamond" w:cs="Times New Roman"/>
                <w:i/>
                <w:iCs/>
                <w:sz w:val="18"/>
                <w:szCs w:val="18"/>
                <w:lang w:eastAsia="en-US"/>
              </w:rPr>
            </w:pPr>
            <w:r>
              <w:rPr>
                <w:rFonts w:ascii="Garamond" w:eastAsia="Garamond" w:hAnsi="Garamond" w:cs="Times New Roman"/>
                <w:i/>
                <w:iCs/>
                <w:sz w:val="18"/>
                <w:szCs w:val="18"/>
                <w:lang w:eastAsia="en-US"/>
              </w:rPr>
              <w:t>2,53</w:t>
            </w:r>
          </w:p>
        </w:tc>
        <w:tc>
          <w:tcPr>
            <w:tcW w:w="1603" w:type="dxa"/>
            <w:vAlign w:val="center"/>
          </w:tcPr>
          <w:p w:rsidR="004B5E59" w:rsidRPr="002B3E7A" w:rsidRDefault="004B5E59" w:rsidP="0054041E">
            <w:pPr>
              <w:tabs>
                <w:tab w:val="left" w:pos="3544"/>
              </w:tabs>
              <w:jc w:val="center"/>
              <w:rPr>
                <w:rFonts w:ascii="Garamond" w:eastAsia="Garamond" w:hAnsi="Garamond" w:cs="Times New Roman"/>
                <w:sz w:val="18"/>
                <w:szCs w:val="18"/>
                <w:lang w:eastAsia="en-US"/>
              </w:rPr>
            </w:pPr>
            <w:r>
              <w:rPr>
                <w:rFonts w:ascii="Garamond" w:eastAsia="Garamond" w:hAnsi="Garamond" w:cs="Times New Roman"/>
                <w:sz w:val="18"/>
                <w:szCs w:val="18"/>
                <w:lang w:eastAsia="en-US"/>
              </w:rPr>
              <w:t>37,45</w:t>
            </w:r>
          </w:p>
        </w:tc>
      </w:tr>
      <w:tr w:rsidR="004B5E59" w:rsidRPr="002B3E7A" w:rsidTr="0054041E">
        <w:trPr>
          <w:cantSplit/>
          <w:jc w:val="center"/>
        </w:trPr>
        <w:tc>
          <w:tcPr>
            <w:tcW w:w="1835" w:type="dxa"/>
            <w:tcBorders>
              <w:left w:val="single" w:sz="4" w:space="0" w:color="808080"/>
            </w:tcBorders>
            <w:vAlign w:val="center"/>
          </w:tcPr>
          <w:p w:rsidR="004B5E59" w:rsidRPr="002B3E7A" w:rsidRDefault="004B5E59" w:rsidP="0054041E">
            <w:pPr>
              <w:tabs>
                <w:tab w:val="left" w:pos="3544"/>
              </w:tabs>
              <w:rPr>
                <w:rFonts w:ascii="Garamond" w:eastAsia="Garamond" w:hAnsi="Garamond" w:cs="Times New Roman"/>
                <w:bCs/>
                <w:sz w:val="18"/>
                <w:szCs w:val="18"/>
                <w:lang w:eastAsia="en-US"/>
              </w:rPr>
            </w:pPr>
            <w:r>
              <w:rPr>
                <w:rFonts w:ascii="Garamond" w:eastAsia="Garamond" w:hAnsi="Garamond" w:cs="Times New Roman"/>
                <w:bCs/>
                <w:sz w:val="18"/>
                <w:szCs w:val="18"/>
                <w:lang w:eastAsia="en-US"/>
              </w:rPr>
              <w:t>CVS 2013-14</w:t>
            </w:r>
          </w:p>
        </w:tc>
        <w:tc>
          <w:tcPr>
            <w:tcW w:w="1585" w:type="dxa"/>
            <w:vAlign w:val="center"/>
          </w:tcPr>
          <w:p w:rsidR="004B5E59" w:rsidRPr="002B3E7A" w:rsidRDefault="004B5E59" w:rsidP="0054041E">
            <w:pPr>
              <w:tabs>
                <w:tab w:val="left" w:pos="3544"/>
              </w:tabs>
              <w:jc w:val="center"/>
              <w:rPr>
                <w:rFonts w:ascii="Garamond" w:eastAsia="Garamond" w:hAnsi="Garamond" w:cs="Times New Roman"/>
                <w:sz w:val="18"/>
                <w:szCs w:val="18"/>
                <w:lang w:eastAsia="en-US"/>
              </w:rPr>
            </w:pPr>
            <w:r>
              <w:rPr>
                <w:rFonts w:ascii="Garamond" w:eastAsia="Garamond" w:hAnsi="Garamond" w:cs="Times New Roman"/>
                <w:sz w:val="18"/>
                <w:szCs w:val="18"/>
                <w:lang w:eastAsia="en-US"/>
              </w:rPr>
              <w:t>14,85</w:t>
            </w:r>
          </w:p>
        </w:tc>
        <w:tc>
          <w:tcPr>
            <w:tcW w:w="1765" w:type="dxa"/>
            <w:vAlign w:val="center"/>
          </w:tcPr>
          <w:p w:rsidR="004B5E59" w:rsidRPr="002B3E7A" w:rsidRDefault="004B5E59" w:rsidP="0054041E">
            <w:pPr>
              <w:tabs>
                <w:tab w:val="left" w:pos="3544"/>
              </w:tabs>
              <w:jc w:val="right"/>
              <w:rPr>
                <w:rFonts w:ascii="Garamond" w:eastAsia="Garamond" w:hAnsi="Garamond" w:cs="Times New Roman"/>
                <w:i/>
                <w:iCs/>
                <w:sz w:val="18"/>
                <w:szCs w:val="18"/>
                <w:lang w:eastAsia="en-US"/>
              </w:rPr>
            </w:pPr>
            <w:r>
              <w:rPr>
                <w:rFonts w:ascii="Garamond" w:eastAsia="Garamond" w:hAnsi="Garamond" w:cs="Times New Roman"/>
                <w:i/>
                <w:iCs/>
                <w:sz w:val="18"/>
                <w:szCs w:val="18"/>
                <w:lang w:eastAsia="en-US"/>
              </w:rPr>
              <w:t>2,62</w:t>
            </w:r>
          </w:p>
        </w:tc>
        <w:tc>
          <w:tcPr>
            <w:tcW w:w="1603" w:type="dxa"/>
            <w:vAlign w:val="center"/>
          </w:tcPr>
          <w:p w:rsidR="004B5E59" w:rsidRPr="002B3E7A" w:rsidRDefault="004B5E59" w:rsidP="0054041E">
            <w:pPr>
              <w:tabs>
                <w:tab w:val="left" w:pos="3544"/>
              </w:tabs>
              <w:jc w:val="center"/>
              <w:rPr>
                <w:rFonts w:ascii="Garamond" w:eastAsia="Garamond" w:hAnsi="Garamond" w:cs="Times New Roman"/>
                <w:sz w:val="18"/>
                <w:szCs w:val="18"/>
                <w:lang w:eastAsia="en-US"/>
              </w:rPr>
            </w:pPr>
            <w:r>
              <w:rPr>
                <w:rFonts w:ascii="Garamond" w:eastAsia="Garamond" w:hAnsi="Garamond" w:cs="Times New Roman"/>
                <w:sz w:val="18"/>
                <w:szCs w:val="18"/>
                <w:lang w:eastAsia="en-US"/>
              </w:rPr>
              <w:t>38,91</w:t>
            </w:r>
          </w:p>
        </w:tc>
      </w:tr>
      <w:tr w:rsidR="004B5E59" w:rsidRPr="002B3E7A" w:rsidTr="0054041E">
        <w:trPr>
          <w:cantSplit/>
          <w:jc w:val="center"/>
        </w:trPr>
        <w:tc>
          <w:tcPr>
            <w:tcW w:w="1835" w:type="dxa"/>
            <w:tcBorders>
              <w:left w:val="single" w:sz="4" w:space="0" w:color="808080"/>
            </w:tcBorders>
            <w:vAlign w:val="center"/>
          </w:tcPr>
          <w:p w:rsidR="004B5E59" w:rsidRDefault="004B5E59" w:rsidP="0054041E">
            <w:pPr>
              <w:tabs>
                <w:tab w:val="left" w:pos="3544"/>
              </w:tabs>
              <w:rPr>
                <w:rFonts w:ascii="Garamond" w:eastAsia="Garamond" w:hAnsi="Garamond" w:cs="Times New Roman"/>
                <w:bCs/>
                <w:sz w:val="18"/>
                <w:szCs w:val="18"/>
                <w:lang w:eastAsia="en-US"/>
              </w:rPr>
            </w:pPr>
            <w:r>
              <w:rPr>
                <w:rFonts w:ascii="Garamond" w:eastAsia="Garamond" w:hAnsi="Garamond" w:cs="Times New Roman"/>
                <w:bCs/>
                <w:sz w:val="18"/>
                <w:szCs w:val="18"/>
                <w:lang w:eastAsia="en-US"/>
              </w:rPr>
              <w:t>CVS 2014-15</w:t>
            </w:r>
          </w:p>
        </w:tc>
        <w:tc>
          <w:tcPr>
            <w:tcW w:w="1585" w:type="dxa"/>
            <w:vAlign w:val="center"/>
          </w:tcPr>
          <w:p w:rsidR="004B5E59" w:rsidRDefault="004B5E59" w:rsidP="0054041E">
            <w:pPr>
              <w:tabs>
                <w:tab w:val="left" w:pos="3544"/>
              </w:tabs>
              <w:jc w:val="center"/>
              <w:rPr>
                <w:rFonts w:ascii="Garamond" w:eastAsia="Garamond" w:hAnsi="Garamond" w:cs="Times New Roman"/>
                <w:sz w:val="18"/>
                <w:szCs w:val="18"/>
                <w:lang w:eastAsia="en-US"/>
              </w:rPr>
            </w:pPr>
            <w:r>
              <w:rPr>
                <w:rFonts w:ascii="Garamond" w:eastAsia="Garamond" w:hAnsi="Garamond" w:cs="Times New Roman"/>
                <w:sz w:val="18"/>
                <w:szCs w:val="18"/>
                <w:lang w:eastAsia="en-US"/>
              </w:rPr>
              <w:t>15,25</w:t>
            </w:r>
          </w:p>
        </w:tc>
        <w:tc>
          <w:tcPr>
            <w:tcW w:w="1765" w:type="dxa"/>
            <w:vAlign w:val="center"/>
          </w:tcPr>
          <w:p w:rsidR="004B5E59" w:rsidRDefault="004B5E59" w:rsidP="0054041E">
            <w:pPr>
              <w:tabs>
                <w:tab w:val="left" w:pos="3544"/>
              </w:tabs>
              <w:jc w:val="right"/>
              <w:rPr>
                <w:rFonts w:ascii="Garamond" w:eastAsia="Garamond" w:hAnsi="Garamond" w:cs="Times New Roman"/>
                <w:i/>
                <w:iCs/>
                <w:sz w:val="18"/>
                <w:szCs w:val="18"/>
                <w:lang w:eastAsia="en-US"/>
              </w:rPr>
            </w:pPr>
            <w:r>
              <w:rPr>
                <w:rFonts w:ascii="Garamond" w:eastAsia="Garamond" w:hAnsi="Garamond" w:cs="Times New Roman"/>
                <w:i/>
                <w:iCs/>
                <w:sz w:val="18"/>
                <w:szCs w:val="18"/>
                <w:lang w:eastAsia="en-US"/>
              </w:rPr>
              <w:t>2,59</w:t>
            </w:r>
          </w:p>
        </w:tc>
        <w:tc>
          <w:tcPr>
            <w:tcW w:w="1603" w:type="dxa"/>
            <w:vAlign w:val="center"/>
          </w:tcPr>
          <w:p w:rsidR="004B5E59" w:rsidRDefault="004B5E59" w:rsidP="0054041E">
            <w:pPr>
              <w:tabs>
                <w:tab w:val="left" w:pos="3544"/>
              </w:tabs>
              <w:jc w:val="center"/>
              <w:rPr>
                <w:rFonts w:ascii="Garamond" w:eastAsia="Garamond" w:hAnsi="Garamond" w:cs="Times New Roman"/>
                <w:sz w:val="18"/>
                <w:szCs w:val="18"/>
                <w:lang w:eastAsia="en-US"/>
              </w:rPr>
            </w:pPr>
            <w:r>
              <w:rPr>
                <w:rFonts w:ascii="Garamond" w:eastAsia="Garamond" w:hAnsi="Garamond" w:cs="Times New Roman"/>
                <w:sz w:val="18"/>
                <w:szCs w:val="18"/>
                <w:lang w:eastAsia="en-US"/>
              </w:rPr>
              <w:t>39,56</w:t>
            </w:r>
          </w:p>
        </w:tc>
      </w:tr>
      <w:tr w:rsidR="004B5E59" w:rsidRPr="00F82C51" w:rsidTr="0054041E">
        <w:trPr>
          <w:cantSplit/>
          <w:jc w:val="center"/>
        </w:trPr>
        <w:tc>
          <w:tcPr>
            <w:tcW w:w="1835" w:type="dxa"/>
            <w:tcBorders>
              <w:left w:val="single" w:sz="4" w:space="0" w:color="808080"/>
              <w:bottom w:val="double" w:sz="4" w:space="0" w:color="808080"/>
            </w:tcBorders>
            <w:vAlign w:val="center"/>
          </w:tcPr>
          <w:p w:rsidR="004B5E59" w:rsidRPr="00F82C51" w:rsidRDefault="004B5E59" w:rsidP="0054041E">
            <w:pPr>
              <w:tabs>
                <w:tab w:val="left" w:pos="3544"/>
              </w:tabs>
              <w:rPr>
                <w:rFonts w:ascii="Garamond" w:eastAsia="Garamond" w:hAnsi="Garamond" w:cs="Times New Roman"/>
                <w:bCs/>
                <w:sz w:val="18"/>
                <w:szCs w:val="18"/>
                <w:lang w:eastAsia="en-US"/>
              </w:rPr>
            </w:pPr>
            <w:r w:rsidRPr="00F82C51">
              <w:rPr>
                <w:rFonts w:ascii="Garamond" w:eastAsia="Garamond" w:hAnsi="Garamond" w:cs="Times New Roman"/>
                <w:bCs/>
                <w:sz w:val="18"/>
                <w:szCs w:val="18"/>
                <w:lang w:eastAsia="en-US"/>
              </w:rPr>
              <w:t>CVS 2015-16</w:t>
            </w:r>
          </w:p>
        </w:tc>
        <w:tc>
          <w:tcPr>
            <w:tcW w:w="1585" w:type="dxa"/>
            <w:tcBorders>
              <w:bottom w:val="double" w:sz="4" w:space="0" w:color="808080"/>
            </w:tcBorders>
            <w:vAlign w:val="center"/>
          </w:tcPr>
          <w:p w:rsidR="004B5E59" w:rsidRPr="00F82C51" w:rsidRDefault="004B5E59" w:rsidP="0054041E">
            <w:pPr>
              <w:tabs>
                <w:tab w:val="left" w:pos="3544"/>
              </w:tabs>
              <w:jc w:val="center"/>
              <w:rPr>
                <w:rFonts w:ascii="Garamond" w:eastAsia="Garamond" w:hAnsi="Garamond" w:cs="Times New Roman"/>
                <w:sz w:val="18"/>
                <w:szCs w:val="18"/>
                <w:lang w:eastAsia="en-US"/>
              </w:rPr>
            </w:pPr>
            <w:r w:rsidRPr="00F82C51">
              <w:rPr>
                <w:rFonts w:ascii="Garamond" w:eastAsia="Garamond" w:hAnsi="Garamond" w:cs="Times New Roman"/>
                <w:sz w:val="18"/>
                <w:szCs w:val="18"/>
                <w:lang w:eastAsia="en-US"/>
              </w:rPr>
              <w:t>15,37</w:t>
            </w:r>
          </w:p>
        </w:tc>
        <w:tc>
          <w:tcPr>
            <w:tcW w:w="1765" w:type="dxa"/>
            <w:tcBorders>
              <w:bottom w:val="double" w:sz="4" w:space="0" w:color="808080"/>
            </w:tcBorders>
            <w:vAlign w:val="center"/>
          </w:tcPr>
          <w:p w:rsidR="004B5E59" w:rsidRPr="00F82C51" w:rsidRDefault="004B5E59" w:rsidP="0054041E">
            <w:pPr>
              <w:tabs>
                <w:tab w:val="left" w:pos="3544"/>
              </w:tabs>
              <w:jc w:val="right"/>
              <w:rPr>
                <w:rFonts w:ascii="Garamond" w:eastAsia="Garamond" w:hAnsi="Garamond" w:cs="Times New Roman"/>
                <w:i/>
                <w:iCs/>
                <w:sz w:val="18"/>
                <w:szCs w:val="18"/>
                <w:lang w:eastAsia="en-US"/>
              </w:rPr>
            </w:pPr>
            <w:r w:rsidRPr="00F82C51">
              <w:rPr>
                <w:rFonts w:ascii="Garamond" w:eastAsia="Garamond" w:hAnsi="Garamond" w:cs="Times New Roman"/>
                <w:i/>
                <w:iCs/>
                <w:sz w:val="18"/>
                <w:szCs w:val="18"/>
                <w:lang w:eastAsia="en-US"/>
              </w:rPr>
              <w:t>2,50</w:t>
            </w:r>
          </w:p>
        </w:tc>
        <w:tc>
          <w:tcPr>
            <w:tcW w:w="1603" w:type="dxa"/>
            <w:tcBorders>
              <w:bottom w:val="double" w:sz="4" w:space="0" w:color="808080"/>
            </w:tcBorders>
            <w:vAlign w:val="center"/>
          </w:tcPr>
          <w:p w:rsidR="004B5E59" w:rsidRPr="00F82C51" w:rsidRDefault="004B5E59" w:rsidP="0054041E">
            <w:pPr>
              <w:tabs>
                <w:tab w:val="left" w:pos="3544"/>
              </w:tabs>
              <w:jc w:val="center"/>
              <w:rPr>
                <w:rFonts w:ascii="Garamond" w:eastAsia="Garamond" w:hAnsi="Garamond" w:cs="Times New Roman"/>
                <w:sz w:val="18"/>
                <w:szCs w:val="18"/>
                <w:lang w:eastAsia="en-US"/>
              </w:rPr>
            </w:pPr>
            <w:r w:rsidRPr="00F82C51">
              <w:rPr>
                <w:rFonts w:ascii="Garamond" w:eastAsia="Garamond" w:hAnsi="Garamond" w:cs="Times New Roman"/>
                <w:sz w:val="18"/>
                <w:szCs w:val="18"/>
                <w:lang w:eastAsia="en-US"/>
              </w:rPr>
              <w:t>38,40</w:t>
            </w:r>
          </w:p>
        </w:tc>
      </w:tr>
    </w:tbl>
    <w:p w:rsidR="004B5E59" w:rsidRPr="002B3E7A" w:rsidRDefault="004B5E59" w:rsidP="004B5E59">
      <w:pPr>
        <w:tabs>
          <w:tab w:val="left" w:pos="3544"/>
        </w:tabs>
        <w:ind w:firstLine="1080"/>
        <w:rPr>
          <w:rFonts w:ascii="Garamond" w:eastAsia="Garamond" w:hAnsi="Garamond" w:cs="Times New Roman"/>
          <w:i/>
          <w:sz w:val="16"/>
          <w:szCs w:val="16"/>
          <w:lang w:eastAsia="en-US"/>
        </w:rPr>
      </w:pPr>
      <w:r w:rsidRPr="002B3E7A">
        <w:rPr>
          <w:rFonts w:ascii="Garamond" w:eastAsia="Garamond" w:hAnsi="Garamond" w:cs="Times New Roman"/>
          <w:i/>
          <w:sz w:val="16"/>
          <w:szCs w:val="16"/>
          <w:lang w:eastAsia="en-US"/>
        </w:rPr>
        <w:t>Source</w:t>
      </w:r>
      <w:r>
        <w:rPr>
          <w:rFonts w:ascii="Garamond" w:eastAsia="Garamond" w:hAnsi="Garamond" w:cs="Times New Roman"/>
          <w:i/>
          <w:sz w:val="16"/>
          <w:szCs w:val="16"/>
          <w:lang w:eastAsia="en-US"/>
        </w:rPr>
        <w:t>s</w:t>
      </w:r>
      <w:r w:rsidRPr="002B3E7A">
        <w:rPr>
          <w:rFonts w:ascii="Garamond" w:eastAsia="Garamond" w:hAnsi="Garamond" w:cs="Times New Roman"/>
          <w:i/>
          <w:sz w:val="16"/>
          <w:szCs w:val="16"/>
          <w:lang w:eastAsia="en-US"/>
        </w:rPr>
        <w:t> : CESDIP, INSEE</w:t>
      </w:r>
      <w:r w:rsidRPr="002B3E7A">
        <w:rPr>
          <w:rFonts w:ascii="Garamond" w:eastAsia="Garamond" w:hAnsi="Garamond" w:cs="Times New Roman"/>
          <w:i/>
          <w:sz w:val="16"/>
          <w:szCs w:val="16"/>
          <w:lang w:eastAsia="en-US"/>
        </w:rPr>
        <w:tab/>
      </w:r>
      <w:r w:rsidRPr="002B3E7A">
        <w:rPr>
          <w:rFonts w:ascii="Garamond" w:eastAsia="Garamond" w:hAnsi="Garamond" w:cs="Times New Roman"/>
          <w:i/>
          <w:sz w:val="16"/>
          <w:szCs w:val="16"/>
          <w:lang w:eastAsia="en-US"/>
        </w:rPr>
        <w:tab/>
      </w:r>
      <w:r w:rsidRPr="002B3E7A">
        <w:rPr>
          <w:rFonts w:ascii="Garamond" w:eastAsia="Garamond" w:hAnsi="Garamond" w:cs="Times New Roman"/>
          <w:i/>
          <w:sz w:val="16"/>
          <w:szCs w:val="16"/>
          <w:lang w:eastAsia="en-US"/>
        </w:rPr>
        <w:tab/>
      </w:r>
      <w:r w:rsidRPr="002B3E7A">
        <w:rPr>
          <w:rFonts w:ascii="Garamond" w:eastAsia="Garamond" w:hAnsi="Garamond" w:cs="Times New Roman"/>
          <w:i/>
          <w:sz w:val="16"/>
          <w:szCs w:val="16"/>
          <w:lang w:eastAsia="en-US"/>
        </w:rPr>
        <w:tab/>
      </w:r>
      <w:r w:rsidRPr="002B3E7A">
        <w:rPr>
          <w:rFonts w:ascii="Garamond" w:eastAsia="Garamond" w:hAnsi="Garamond" w:cs="Times New Roman"/>
          <w:i/>
          <w:sz w:val="16"/>
          <w:szCs w:val="16"/>
          <w:lang w:eastAsia="en-US"/>
        </w:rPr>
        <w:tab/>
      </w:r>
      <w:r w:rsidRPr="002B3E7A">
        <w:rPr>
          <w:rFonts w:ascii="Garamond" w:eastAsia="Garamond" w:hAnsi="Garamond" w:cs="Times New Roman"/>
          <w:i/>
          <w:sz w:val="16"/>
          <w:szCs w:val="16"/>
          <w:lang w:eastAsia="en-US"/>
        </w:rPr>
        <w:tab/>
        <w:t>Champ : France métropolitaine</w:t>
      </w:r>
    </w:p>
    <w:p w:rsidR="004B5E59" w:rsidRDefault="004B5E59" w:rsidP="004B5E59">
      <w:pPr>
        <w:tabs>
          <w:tab w:val="left" w:pos="3544"/>
        </w:tabs>
        <w:jc w:val="both"/>
        <w:rPr>
          <w:rFonts w:ascii="Garamond" w:eastAsia="Garamond" w:hAnsi="Garamond" w:cs="Times New Roman"/>
          <w:sz w:val="24"/>
          <w:szCs w:val="22"/>
          <w:lang w:eastAsia="en-US"/>
        </w:rPr>
      </w:pPr>
    </w:p>
    <w:p w:rsidR="004B5E59" w:rsidRPr="002B3E7A" w:rsidRDefault="004B5E59" w:rsidP="004B5E59">
      <w:pPr>
        <w:tabs>
          <w:tab w:val="left" w:pos="851"/>
          <w:tab w:val="left" w:pos="3544"/>
        </w:tabs>
        <w:ind w:firstLine="851"/>
        <w:jc w:val="both"/>
        <w:rPr>
          <w:rFonts w:ascii="Garamond" w:eastAsia="Garamond" w:hAnsi="Garamond" w:cs="Times New Roman"/>
          <w:sz w:val="24"/>
          <w:szCs w:val="22"/>
          <w:lang w:eastAsia="en-US"/>
        </w:rPr>
      </w:pPr>
      <w:r w:rsidRPr="002B3E7A">
        <w:rPr>
          <w:rFonts w:ascii="Garamond" w:eastAsia="Garamond" w:hAnsi="Garamond" w:cs="Times New Roman"/>
          <w:sz w:val="24"/>
          <w:szCs w:val="22"/>
          <w:lang w:eastAsia="en-US"/>
        </w:rPr>
        <w:t>Jusqu’en 2003-04, cette victimation augmente régulièrement : le périmètre des agressés passe de 2 à plus de 4%. Mais l’évolution ultérieure est surprenante : cette prévalence double brusquement en 2004-05 et double à nouveau en 2005-06. On soupçonne des modifications de protocole. En effet, la première fois, la question a été modifiée pour préciser explicitement à l’enquêté qu’il devait tenir compte des agressions seulement verbales</w:t>
      </w:r>
      <w:r w:rsidRPr="002B3E7A">
        <w:rPr>
          <w:rFonts w:ascii="Garamond" w:eastAsia="Garamond" w:hAnsi="Garamond" w:cs="Times New Roman"/>
          <w:sz w:val="24"/>
          <w:szCs w:val="22"/>
          <w:vertAlign w:val="superscript"/>
          <w:lang w:eastAsia="en-US"/>
        </w:rPr>
        <w:footnoteReference w:id="1"/>
      </w:r>
      <w:r w:rsidRPr="002B3E7A">
        <w:rPr>
          <w:rFonts w:ascii="Garamond" w:eastAsia="Garamond" w:hAnsi="Garamond" w:cs="Times New Roman"/>
          <w:sz w:val="24"/>
          <w:szCs w:val="22"/>
          <w:lang w:eastAsia="en-US"/>
        </w:rPr>
        <w:t xml:space="preserve"> ; la seconde fois, les nouvelles enquêtes CVS ont substitué au module unique sur les agressions des modules particuliers sur les agressions physiques, les vols violents, les menaces et les injures. L’effet de ces changements de protocole a été dramatique. </w:t>
      </w:r>
    </w:p>
    <w:p w:rsidR="004B5E59" w:rsidRDefault="004B5E59" w:rsidP="004B5E59">
      <w:pPr>
        <w:tabs>
          <w:tab w:val="left" w:pos="0"/>
          <w:tab w:val="left" w:pos="3544"/>
        </w:tabs>
        <w:ind w:firstLine="709"/>
        <w:jc w:val="both"/>
        <w:rPr>
          <w:rFonts w:ascii="Garamond" w:eastAsia="Garamond" w:hAnsi="Garamond" w:cs="Times New Roman"/>
          <w:sz w:val="24"/>
          <w:szCs w:val="22"/>
          <w:lang w:eastAsia="en-US"/>
        </w:rPr>
      </w:pPr>
      <w:r w:rsidRPr="002B3E7A">
        <w:rPr>
          <w:rFonts w:ascii="Garamond" w:eastAsia="Garamond" w:hAnsi="Garamond" w:cs="Times New Roman"/>
          <w:sz w:val="24"/>
          <w:szCs w:val="22"/>
          <w:lang w:eastAsia="en-US"/>
        </w:rPr>
        <w:t>On est conforté dans cette interprétation par l’observation des enquêtes IAU-</w:t>
      </w:r>
      <w:proofErr w:type="spellStart"/>
      <w:r w:rsidRPr="002B3E7A">
        <w:rPr>
          <w:rFonts w:ascii="Garamond" w:eastAsia="Garamond" w:hAnsi="Garamond" w:cs="Times New Roman"/>
          <w:sz w:val="24"/>
          <w:szCs w:val="22"/>
          <w:lang w:eastAsia="en-US"/>
        </w:rPr>
        <w:t>ÎdF</w:t>
      </w:r>
      <w:proofErr w:type="spellEnd"/>
      <w:r w:rsidRPr="002B3E7A">
        <w:rPr>
          <w:rFonts w:ascii="Garamond" w:eastAsia="Garamond" w:hAnsi="Garamond" w:cs="Times New Roman"/>
          <w:sz w:val="24"/>
          <w:szCs w:val="22"/>
          <w:lang w:eastAsia="en-US"/>
        </w:rPr>
        <w:t xml:space="preserve"> dont le protocole n’a pas changé depuis l’origine. On observe bien, en Île-de-France, une </w:t>
      </w:r>
      <w:r>
        <w:rPr>
          <w:rFonts w:ascii="Garamond" w:eastAsia="Garamond" w:hAnsi="Garamond" w:cs="Times New Roman"/>
          <w:sz w:val="24"/>
          <w:szCs w:val="22"/>
          <w:lang w:eastAsia="en-US"/>
        </w:rPr>
        <w:t xml:space="preserve">poussée (sans </w:t>
      </w:r>
      <w:r>
        <w:rPr>
          <w:rFonts w:ascii="Garamond" w:eastAsia="Garamond" w:hAnsi="Garamond" w:cs="Times New Roman"/>
          <w:sz w:val="24"/>
          <w:szCs w:val="22"/>
          <w:lang w:eastAsia="en-US"/>
        </w:rPr>
        <w:lastRenderedPageBreak/>
        <w:t>lendemain) en fin de période</w:t>
      </w:r>
      <w:r w:rsidRPr="002B3E7A">
        <w:rPr>
          <w:rFonts w:ascii="Garamond" w:eastAsia="Garamond" w:hAnsi="Garamond" w:cs="Times New Roman"/>
          <w:sz w:val="24"/>
          <w:szCs w:val="22"/>
          <w:lang w:eastAsia="en-US"/>
        </w:rPr>
        <w:t xml:space="preserve"> des agressions sans contact physique, mais son ordre de grandeur n’a aucun rapport avec les décrochages de la courbe nationale (figure </w:t>
      </w:r>
      <w:r w:rsidR="002708DB">
        <w:rPr>
          <w:rFonts w:ascii="Garamond" w:eastAsia="Garamond" w:hAnsi="Garamond" w:cs="Times New Roman"/>
          <w:sz w:val="24"/>
          <w:szCs w:val="22"/>
          <w:lang w:eastAsia="en-US"/>
        </w:rPr>
        <w:t>1</w:t>
      </w:r>
      <w:r w:rsidRPr="002B3E7A">
        <w:rPr>
          <w:rFonts w:ascii="Garamond" w:eastAsia="Garamond" w:hAnsi="Garamond" w:cs="Times New Roman"/>
          <w:sz w:val="24"/>
          <w:szCs w:val="22"/>
          <w:lang w:eastAsia="en-US"/>
        </w:rPr>
        <w:t xml:space="preserve">). </w:t>
      </w:r>
    </w:p>
    <w:p w:rsidR="004B5E59" w:rsidRPr="002B3E7A" w:rsidRDefault="004B5E59" w:rsidP="004B5E59">
      <w:pPr>
        <w:tabs>
          <w:tab w:val="left" w:pos="0"/>
          <w:tab w:val="left" w:pos="3544"/>
        </w:tabs>
        <w:ind w:firstLine="709"/>
        <w:jc w:val="both"/>
        <w:rPr>
          <w:rFonts w:ascii="Garamond" w:eastAsia="Garamond" w:hAnsi="Garamond" w:cs="Times New Roman"/>
          <w:sz w:val="24"/>
          <w:szCs w:val="22"/>
          <w:lang w:eastAsia="en-US"/>
        </w:rPr>
      </w:pPr>
      <w:r w:rsidRPr="002B3E7A">
        <w:rPr>
          <w:rFonts w:ascii="Garamond" w:eastAsia="Garamond" w:hAnsi="Garamond" w:cs="Times New Roman"/>
          <w:sz w:val="24"/>
          <w:szCs w:val="22"/>
          <w:lang w:eastAsia="en-US"/>
        </w:rPr>
        <w:t xml:space="preserve">L’ordre de grandeur indiqué par les dernières enquêtes nationales n’est pas plus faux que le précédent, simplement il ne mesure pas la même chose parce qu’il ne pose pas la même question. Du coup, cet indicateur devient incapable d’estimer l’évolution sur le long terme des agressions non physiques. On voit par-là comment la règle </w:t>
      </w:r>
      <w:r w:rsidRPr="002B3E7A">
        <w:rPr>
          <w:rFonts w:ascii="Garamond" w:eastAsia="Garamond" w:hAnsi="Garamond" w:cs="Times New Roman"/>
          <w:i/>
          <w:sz w:val="24"/>
          <w:szCs w:val="22"/>
          <w:lang w:eastAsia="en-US"/>
        </w:rPr>
        <w:t>princeps</w:t>
      </w:r>
      <w:r w:rsidRPr="002B3E7A">
        <w:rPr>
          <w:rFonts w:ascii="Garamond" w:eastAsia="Garamond" w:hAnsi="Garamond" w:cs="Times New Roman"/>
          <w:sz w:val="24"/>
          <w:szCs w:val="22"/>
          <w:lang w:eastAsia="en-US"/>
        </w:rPr>
        <w:t xml:space="preserve"> de la gestion des enquêtes de victimation est la stabilité de leur protocole de mesure.</w:t>
      </w:r>
    </w:p>
    <w:p w:rsidR="004B5E59" w:rsidRDefault="004B5E59" w:rsidP="004B5E59">
      <w:pPr>
        <w:keepNext/>
        <w:spacing w:before="240" w:after="120"/>
        <w:jc w:val="center"/>
        <w:rPr>
          <w:rFonts w:ascii="Garamond" w:eastAsia="Garamond" w:hAnsi="Garamond" w:cs="Times New Roman"/>
          <w:i/>
          <w:sz w:val="20"/>
          <w:lang w:eastAsia="en-US"/>
        </w:rPr>
      </w:pPr>
      <w:r w:rsidRPr="002B3E7A">
        <w:rPr>
          <w:rFonts w:ascii="Garamond" w:eastAsia="Garamond" w:hAnsi="Garamond" w:cs="Times New Roman"/>
          <w:i/>
          <w:sz w:val="20"/>
          <w:lang w:eastAsia="en-US"/>
        </w:rPr>
        <w:t xml:space="preserve">Figure </w:t>
      </w:r>
      <w:r>
        <w:rPr>
          <w:rFonts w:ascii="Garamond" w:eastAsia="Garamond" w:hAnsi="Garamond" w:cs="Times New Roman"/>
          <w:i/>
          <w:sz w:val="20"/>
          <w:lang w:eastAsia="en-US"/>
        </w:rPr>
        <w:t>1</w:t>
      </w:r>
      <w:r w:rsidRPr="002B3E7A">
        <w:rPr>
          <w:rFonts w:ascii="Garamond" w:eastAsia="Garamond" w:hAnsi="Garamond" w:cs="Times New Roman"/>
          <w:i/>
          <w:sz w:val="20"/>
          <w:lang w:eastAsia="en-US"/>
        </w:rPr>
        <w:t> : Agressions sans contact physique (prévalences dans différentes enquêtes</w:t>
      </w:r>
      <w:r>
        <w:rPr>
          <w:rFonts w:ascii="Garamond" w:eastAsia="Garamond" w:hAnsi="Garamond" w:cs="Times New Roman"/>
          <w:i/>
          <w:sz w:val="20"/>
          <w:lang w:eastAsia="en-US"/>
        </w:rPr>
        <w:t xml:space="preserve"> </w:t>
      </w:r>
      <w:r w:rsidRPr="002B3E7A">
        <w:rPr>
          <w:rFonts w:ascii="Garamond" w:eastAsia="Garamond" w:hAnsi="Garamond" w:cs="Times New Roman"/>
          <w:i/>
          <w:sz w:val="20"/>
          <w:lang w:eastAsia="en-US"/>
        </w:rPr>
        <w:t>1984-201</w:t>
      </w:r>
      <w:r>
        <w:rPr>
          <w:rFonts w:ascii="Garamond" w:eastAsia="Garamond" w:hAnsi="Garamond" w:cs="Times New Roman"/>
          <w:i/>
          <w:sz w:val="20"/>
          <w:lang w:eastAsia="en-US"/>
        </w:rPr>
        <w:t>6)</w:t>
      </w:r>
    </w:p>
    <w:p w:rsidR="004B5E59" w:rsidRDefault="004B5E59" w:rsidP="004B5E59">
      <w:pPr>
        <w:keepNext/>
        <w:jc w:val="center"/>
        <w:rPr>
          <w:rFonts w:ascii="Garamond" w:eastAsia="Garamond" w:hAnsi="Garamond" w:cs="Times New Roman"/>
          <w:i/>
          <w:sz w:val="16"/>
          <w:szCs w:val="16"/>
          <w:lang w:eastAsia="en-US"/>
        </w:rPr>
      </w:pPr>
      <w:r>
        <w:rPr>
          <w:noProof/>
        </w:rPr>
        <w:drawing>
          <wp:inline distT="0" distB="0" distL="0" distR="0" wp14:anchorId="5AA7CFE9" wp14:editId="72E008DD">
            <wp:extent cx="4417200" cy="2696400"/>
            <wp:effectExtent l="0" t="0" r="254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7200" cy="2696400"/>
                    </a:xfrm>
                    <a:prstGeom prst="rect">
                      <a:avLst/>
                    </a:prstGeom>
                  </pic:spPr>
                </pic:pic>
              </a:graphicData>
            </a:graphic>
          </wp:inline>
        </w:drawing>
      </w:r>
    </w:p>
    <w:p w:rsidR="004B5E59" w:rsidRPr="002B3E7A" w:rsidRDefault="004B5E59" w:rsidP="004B5E59">
      <w:pPr>
        <w:keepNext/>
        <w:jc w:val="center"/>
        <w:rPr>
          <w:rFonts w:ascii="Garamond" w:eastAsia="Garamond" w:hAnsi="Garamond" w:cs="Times New Roman"/>
          <w:sz w:val="24"/>
          <w:szCs w:val="22"/>
          <w:lang w:eastAsia="en-US"/>
        </w:rPr>
      </w:pPr>
      <w:r>
        <w:rPr>
          <w:rFonts w:ascii="Garamond" w:eastAsia="Garamond" w:hAnsi="Garamond" w:cs="Times New Roman"/>
          <w:i/>
          <w:sz w:val="16"/>
          <w:szCs w:val="16"/>
          <w:lang w:eastAsia="en-US"/>
        </w:rPr>
        <w:t>Sourc</w:t>
      </w:r>
      <w:r w:rsidRPr="002B3E7A">
        <w:rPr>
          <w:rFonts w:ascii="Garamond" w:eastAsia="Garamond" w:hAnsi="Garamond" w:cs="Times New Roman"/>
          <w:i/>
          <w:sz w:val="16"/>
          <w:szCs w:val="16"/>
          <w:lang w:eastAsia="en-US"/>
        </w:rPr>
        <w:t>e</w:t>
      </w:r>
      <w:r>
        <w:rPr>
          <w:rFonts w:ascii="Garamond" w:eastAsia="Garamond" w:hAnsi="Garamond" w:cs="Times New Roman"/>
          <w:i/>
          <w:sz w:val="16"/>
          <w:szCs w:val="16"/>
          <w:lang w:eastAsia="en-US"/>
        </w:rPr>
        <w:t>s : CESDIP, INSEE, IAU-Ide</w:t>
      </w:r>
      <w:r w:rsidRPr="002B3E7A">
        <w:rPr>
          <w:rFonts w:ascii="Garamond" w:eastAsia="Garamond" w:hAnsi="Garamond" w:cs="Times New Roman"/>
          <w:i/>
          <w:sz w:val="16"/>
          <w:szCs w:val="16"/>
          <w:lang w:eastAsia="en-US"/>
        </w:rPr>
        <w:t>F</w:t>
      </w:r>
      <w:r w:rsidRPr="002B3E7A">
        <w:rPr>
          <w:rFonts w:ascii="Garamond" w:eastAsia="Garamond" w:hAnsi="Garamond" w:cs="Times New Roman"/>
          <w:i/>
          <w:sz w:val="16"/>
          <w:szCs w:val="16"/>
          <w:lang w:eastAsia="en-US"/>
        </w:rPr>
        <w:tab/>
      </w:r>
      <w:r>
        <w:rPr>
          <w:rFonts w:ascii="Garamond" w:eastAsia="Garamond" w:hAnsi="Garamond" w:cs="Times New Roman"/>
          <w:i/>
          <w:sz w:val="16"/>
          <w:szCs w:val="16"/>
          <w:lang w:eastAsia="en-US"/>
        </w:rPr>
        <w:tab/>
      </w:r>
      <w:r w:rsidRPr="002B3E7A">
        <w:rPr>
          <w:rFonts w:ascii="Garamond" w:eastAsia="Garamond" w:hAnsi="Garamond" w:cs="Times New Roman"/>
          <w:i/>
          <w:sz w:val="16"/>
          <w:szCs w:val="16"/>
          <w:lang w:eastAsia="en-US"/>
        </w:rPr>
        <w:tab/>
        <w:t>Champ : variable selon les enquêtes</w:t>
      </w:r>
    </w:p>
    <w:p w:rsidR="004B5E59" w:rsidRPr="002B3E7A" w:rsidRDefault="004B5E59" w:rsidP="004B5E59">
      <w:pPr>
        <w:keepNext/>
        <w:jc w:val="center"/>
        <w:rPr>
          <w:rFonts w:ascii="Garamond" w:eastAsia="Garamond" w:hAnsi="Garamond" w:cs="Times New Roman"/>
          <w:i/>
          <w:sz w:val="16"/>
          <w:szCs w:val="16"/>
          <w:lang w:eastAsia="en-US"/>
        </w:rPr>
      </w:pPr>
      <w:r w:rsidRPr="002B3E7A">
        <w:rPr>
          <w:rFonts w:ascii="Garamond" w:eastAsia="Garamond" w:hAnsi="Garamond" w:cs="Times New Roman"/>
          <w:i/>
          <w:sz w:val="16"/>
          <w:szCs w:val="16"/>
          <w:lang w:eastAsia="en-US"/>
        </w:rPr>
        <w:t>Note de lecture : la barre en petits tir</w:t>
      </w:r>
      <w:r>
        <w:rPr>
          <w:rFonts w:ascii="Garamond" w:eastAsia="Garamond" w:hAnsi="Garamond" w:cs="Times New Roman"/>
          <w:i/>
          <w:sz w:val="16"/>
          <w:szCs w:val="16"/>
          <w:lang w:eastAsia="en-US"/>
        </w:rPr>
        <w:t>ets</w:t>
      </w:r>
      <w:r w:rsidRPr="002B3E7A">
        <w:rPr>
          <w:rFonts w:ascii="Garamond" w:eastAsia="Garamond" w:hAnsi="Garamond" w:cs="Times New Roman"/>
          <w:i/>
          <w:sz w:val="16"/>
          <w:szCs w:val="16"/>
          <w:lang w:eastAsia="en-US"/>
        </w:rPr>
        <w:t xml:space="preserve"> indique la modification de la formulation de la question dans l’EPCV</w:t>
      </w:r>
    </w:p>
    <w:p w:rsidR="004B5E59" w:rsidRPr="002B3E7A" w:rsidRDefault="004B5E59" w:rsidP="004B5E59">
      <w:pPr>
        <w:ind w:firstLine="708"/>
        <w:jc w:val="both"/>
        <w:rPr>
          <w:rFonts w:ascii="Garamond" w:eastAsia="Garamond" w:hAnsi="Garamond" w:cs="Times New Roman"/>
          <w:i/>
          <w:sz w:val="18"/>
          <w:szCs w:val="18"/>
          <w:lang w:eastAsia="en-US"/>
        </w:rPr>
      </w:pPr>
    </w:p>
    <w:p w:rsidR="004B5E59" w:rsidRPr="002B3E7A" w:rsidRDefault="004B5E59" w:rsidP="004B5E59">
      <w:pPr>
        <w:ind w:firstLine="708"/>
        <w:jc w:val="both"/>
        <w:rPr>
          <w:rFonts w:ascii="Garamond" w:eastAsia="Garamond" w:hAnsi="Garamond" w:cs="Times New Roman"/>
          <w:sz w:val="24"/>
          <w:szCs w:val="22"/>
          <w:lang w:eastAsia="en-US"/>
        </w:rPr>
      </w:pPr>
      <w:r w:rsidRPr="002B3E7A">
        <w:rPr>
          <w:rFonts w:ascii="Garamond" w:eastAsia="Garamond" w:hAnsi="Garamond" w:cs="Times New Roman"/>
          <w:sz w:val="24"/>
          <w:szCs w:val="22"/>
          <w:lang w:eastAsia="en-US"/>
        </w:rPr>
        <w:t>On ne sera pas surpris d’observer que ces agressés sont victimes de manière bien plus répétitive</w:t>
      </w:r>
      <w:r w:rsidRPr="002B3E7A">
        <w:rPr>
          <w:rFonts w:ascii="Garamond" w:eastAsia="Garamond" w:hAnsi="Garamond" w:cs="Times New Roman"/>
          <w:sz w:val="24"/>
          <w:szCs w:val="22"/>
          <w:vertAlign w:val="superscript"/>
          <w:lang w:eastAsia="en-US"/>
        </w:rPr>
        <w:footnoteReference w:id="2"/>
      </w:r>
      <w:r w:rsidRPr="002B3E7A">
        <w:rPr>
          <w:rFonts w:ascii="Garamond" w:eastAsia="Garamond" w:hAnsi="Garamond" w:cs="Times New Roman"/>
          <w:sz w:val="24"/>
          <w:szCs w:val="22"/>
          <w:lang w:eastAsia="en-US"/>
        </w:rPr>
        <w:t xml:space="preserve"> que pour les victimations patrimoniales ou même les agressions physiques (tableau 4). Du coup, le pourcentage de faits (incidence) se situe dans des ordres de grandeur sans commune mesure avec ceux où se situe le pourcentage d’agressés (prévalence).</w:t>
      </w:r>
    </w:p>
    <w:p w:rsidR="004B5E59" w:rsidRPr="002B3E7A" w:rsidRDefault="004B5E59" w:rsidP="004B5E59">
      <w:pPr>
        <w:jc w:val="both"/>
        <w:rPr>
          <w:rFonts w:ascii="Garamond" w:eastAsia="Garamond" w:hAnsi="Garamond" w:cs="Times New Roman"/>
          <w:sz w:val="24"/>
          <w:szCs w:val="22"/>
          <w:lang w:eastAsia="en-US"/>
        </w:rPr>
      </w:pPr>
      <w:r w:rsidRPr="002B3E7A">
        <w:rPr>
          <w:rFonts w:ascii="Garamond" w:eastAsia="Garamond" w:hAnsi="Garamond" w:cs="Times New Roman"/>
          <w:sz w:val="24"/>
          <w:szCs w:val="22"/>
          <w:lang w:eastAsia="en-US"/>
        </w:rPr>
        <w:tab/>
        <w:t>Si nous sommes dans l’incapacité de dire si ce type de victimation a poursuivi depuis le milieu de la dernière décennie la croissance régulière que l’on observait jusqu’à ce moment, du moins nous pouvons imaginer que son ‘irritant’ tient moins à la gravité de chaque incident qu’à sa répétition. Des ‘piqûres d’épingle’ peuvent devenir insupportables si elles se renouvellent de jour en jour.</w:t>
      </w:r>
    </w:p>
    <w:p w:rsidR="009F4C8C" w:rsidRDefault="009F4C8C"/>
    <w:sectPr w:rsidR="009F4C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ED" w:rsidRDefault="005F29ED" w:rsidP="004B5E59">
      <w:r>
        <w:separator/>
      </w:r>
    </w:p>
  </w:endnote>
  <w:endnote w:type="continuationSeparator" w:id="0">
    <w:p w:rsidR="005F29ED" w:rsidRDefault="005F29ED" w:rsidP="004B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ED" w:rsidRDefault="005F29ED" w:rsidP="004B5E59">
      <w:r>
        <w:separator/>
      </w:r>
    </w:p>
  </w:footnote>
  <w:footnote w:type="continuationSeparator" w:id="0">
    <w:p w:rsidR="005F29ED" w:rsidRDefault="005F29ED" w:rsidP="004B5E59">
      <w:r>
        <w:continuationSeparator/>
      </w:r>
    </w:p>
  </w:footnote>
  <w:footnote w:id="1">
    <w:p w:rsidR="004B5E59" w:rsidRPr="00B4580D" w:rsidRDefault="004B5E59" w:rsidP="004B5E59">
      <w:pPr>
        <w:pStyle w:val="Notedebasdepage"/>
      </w:pPr>
      <w:r w:rsidRPr="00B4580D">
        <w:rPr>
          <w:rStyle w:val="Appelnotedebasdep"/>
        </w:rPr>
        <w:footnoteRef/>
      </w:r>
      <w:r w:rsidRPr="00B4580D">
        <w:t xml:space="preserve"> Auparavant, cette précision figurait seulement dans la consigne donnée aux enquêteurs.</w:t>
      </w:r>
    </w:p>
  </w:footnote>
  <w:footnote w:id="2">
    <w:p w:rsidR="004B5E59" w:rsidRPr="00E52E96" w:rsidRDefault="004B5E59" w:rsidP="004B5E59">
      <w:pPr>
        <w:pStyle w:val="Notedebasdepage"/>
      </w:pPr>
      <w:r w:rsidRPr="00013231">
        <w:rPr>
          <w:rStyle w:val="Appelnotedebasdep"/>
        </w:rPr>
        <w:footnoteRef/>
      </w:r>
      <w:r w:rsidRPr="00013231">
        <w:t xml:space="preserve"> Si l’on ne pratiquait pas de troncature, la multivictimation atteindrait même 24,</w:t>
      </w:r>
      <w:r>
        <w:t>66</w:t>
      </w:r>
      <w:r w:rsidRPr="00013231">
        <w:t xml:space="preserve"> pour la dernière enquête (CVS </w:t>
      </w:r>
      <w:r>
        <w:t>2015</w:t>
      </w:r>
      <w:r w:rsidR="002708DB">
        <w:t>-</w:t>
      </w:r>
      <w:r>
        <w:t>16</w:t>
      </w:r>
      <w:r w:rsidRPr="00E52E96">
        <w:t xml:space="preserve">) au lieu de </w:t>
      </w:r>
      <w:r>
        <w:t>2,59</w:t>
      </w:r>
      <w:r w:rsidRPr="00E52E96">
        <w:t xml:space="preserve"> ce qui suggère qu’une minorité de ces victimes a été soumise à un grand nombre de telles agressions.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59"/>
    <w:rsid w:val="0002106C"/>
    <w:rsid w:val="00057F75"/>
    <w:rsid w:val="00131A29"/>
    <w:rsid w:val="00225E23"/>
    <w:rsid w:val="00252C18"/>
    <w:rsid w:val="002708DB"/>
    <w:rsid w:val="004B5E59"/>
    <w:rsid w:val="005F29ED"/>
    <w:rsid w:val="00654BD3"/>
    <w:rsid w:val="007E662A"/>
    <w:rsid w:val="009505C1"/>
    <w:rsid w:val="00970A84"/>
    <w:rsid w:val="009F4C8C"/>
    <w:rsid w:val="00A00857"/>
    <w:rsid w:val="00B866D3"/>
    <w:rsid w:val="00CF7E3E"/>
    <w:rsid w:val="00DF2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59"/>
    <w:pPr>
      <w:spacing w:after="0" w:line="240" w:lineRule="auto"/>
    </w:pPr>
    <w:rPr>
      <w:rFonts w:ascii="Tahoma" w:eastAsiaTheme="minorEastAsia" w:hAnsi="Tahoma"/>
      <w:szCs w:val="20"/>
      <w:lang w:eastAsia="fr-FR"/>
    </w:rPr>
  </w:style>
  <w:style w:type="paragraph" w:styleId="Titre1">
    <w:name w:val="heading 1"/>
    <w:basedOn w:val="Normal"/>
    <w:next w:val="Normal"/>
    <w:link w:val="Titre1Car"/>
    <w:uiPriority w:val="9"/>
    <w:qFormat/>
    <w:rsid w:val="00225E23"/>
    <w:pPr>
      <w:keepNext/>
      <w:keepLines/>
      <w:spacing w:before="480"/>
      <w:jc w:val="center"/>
      <w:outlineLvl w:val="0"/>
    </w:pPr>
    <w:rPr>
      <w:rFonts w:ascii="Garamond" w:eastAsiaTheme="majorEastAsia" w:hAnsi="Garamond"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ascii="Garamond" w:eastAsiaTheme="majorEastAsia" w:hAnsi="Garamond"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ascii="Garamond" w:eastAsiaTheme="majorEastAsia" w:hAnsi="Garamond"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paragraph" w:styleId="Notedebasdepage">
    <w:name w:val="footnote text"/>
    <w:basedOn w:val="Normal"/>
    <w:link w:val="NotedebasdepageCar"/>
    <w:autoRedefine/>
    <w:qFormat/>
    <w:rsid w:val="004B5E59"/>
    <w:pPr>
      <w:jc w:val="both"/>
    </w:pPr>
    <w:rPr>
      <w:rFonts w:ascii="Garamond" w:hAnsi="Garamond"/>
      <w:sz w:val="20"/>
    </w:rPr>
  </w:style>
  <w:style w:type="character" w:customStyle="1" w:styleId="NotedebasdepageCar">
    <w:name w:val="Note de bas de page Car"/>
    <w:basedOn w:val="Policepardfaut"/>
    <w:link w:val="Notedebasdepage"/>
    <w:rsid w:val="004B5E59"/>
    <w:rPr>
      <w:rFonts w:ascii="Garamond" w:eastAsiaTheme="minorEastAsia" w:hAnsi="Garamond"/>
      <w:sz w:val="20"/>
      <w:szCs w:val="20"/>
      <w:lang w:eastAsia="fr-FR"/>
    </w:rPr>
  </w:style>
  <w:style w:type="character" w:styleId="Appelnotedebasdep">
    <w:name w:val="footnote reference"/>
    <w:aliases w:val="note de bas de p."/>
    <w:rsid w:val="004B5E59"/>
    <w:rPr>
      <w:color w:val="008000"/>
      <w:vertAlign w:val="superscript"/>
    </w:rPr>
  </w:style>
  <w:style w:type="paragraph" w:styleId="Textedebulles">
    <w:name w:val="Balloon Text"/>
    <w:basedOn w:val="Normal"/>
    <w:link w:val="TextedebullesCar"/>
    <w:uiPriority w:val="99"/>
    <w:semiHidden/>
    <w:unhideWhenUsed/>
    <w:rsid w:val="004B5E59"/>
    <w:rPr>
      <w:rFonts w:cs="Tahoma"/>
      <w:sz w:val="16"/>
      <w:szCs w:val="16"/>
    </w:rPr>
  </w:style>
  <w:style w:type="character" w:customStyle="1" w:styleId="TextedebullesCar">
    <w:name w:val="Texte de bulles Car"/>
    <w:basedOn w:val="Policepardfaut"/>
    <w:link w:val="Textedebulles"/>
    <w:uiPriority w:val="99"/>
    <w:semiHidden/>
    <w:rsid w:val="004B5E59"/>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59"/>
    <w:pPr>
      <w:spacing w:after="0" w:line="240" w:lineRule="auto"/>
    </w:pPr>
    <w:rPr>
      <w:rFonts w:ascii="Tahoma" w:eastAsiaTheme="minorEastAsia" w:hAnsi="Tahoma"/>
      <w:szCs w:val="20"/>
      <w:lang w:eastAsia="fr-FR"/>
    </w:rPr>
  </w:style>
  <w:style w:type="paragraph" w:styleId="Titre1">
    <w:name w:val="heading 1"/>
    <w:basedOn w:val="Normal"/>
    <w:next w:val="Normal"/>
    <w:link w:val="Titre1Car"/>
    <w:uiPriority w:val="9"/>
    <w:qFormat/>
    <w:rsid w:val="00225E23"/>
    <w:pPr>
      <w:keepNext/>
      <w:keepLines/>
      <w:spacing w:before="480"/>
      <w:jc w:val="center"/>
      <w:outlineLvl w:val="0"/>
    </w:pPr>
    <w:rPr>
      <w:rFonts w:ascii="Garamond" w:eastAsiaTheme="majorEastAsia" w:hAnsi="Garamond"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ascii="Garamond" w:eastAsiaTheme="majorEastAsia" w:hAnsi="Garamond"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ascii="Garamond" w:eastAsiaTheme="majorEastAsia" w:hAnsi="Garamond"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paragraph" w:styleId="Notedebasdepage">
    <w:name w:val="footnote text"/>
    <w:basedOn w:val="Normal"/>
    <w:link w:val="NotedebasdepageCar"/>
    <w:autoRedefine/>
    <w:qFormat/>
    <w:rsid w:val="004B5E59"/>
    <w:pPr>
      <w:jc w:val="both"/>
    </w:pPr>
    <w:rPr>
      <w:rFonts w:ascii="Garamond" w:hAnsi="Garamond"/>
      <w:sz w:val="20"/>
    </w:rPr>
  </w:style>
  <w:style w:type="character" w:customStyle="1" w:styleId="NotedebasdepageCar">
    <w:name w:val="Note de bas de page Car"/>
    <w:basedOn w:val="Policepardfaut"/>
    <w:link w:val="Notedebasdepage"/>
    <w:rsid w:val="004B5E59"/>
    <w:rPr>
      <w:rFonts w:ascii="Garamond" w:eastAsiaTheme="minorEastAsia" w:hAnsi="Garamond"/>
      <w:sz w:val="20"/>
      <w:szCs w:val="20"/>
      <w:lang w:eastAsia="fr-FR"/>
    </w:rPr>
  </w:style>
  <w:style w:type="character" w:styleId="Appelnotedebasdep">
    <w:name w:val="footnote reference"/>
    <w:aliases w:val="note de bas de p."/>
    <w:rsid w:val="004B5E59"/>
    <w:rPr>
      <w:color w:val="008000"/>
      <w:vertAlign w:val="superscript"/>
    </w:rPr>
  </w:style>
  <w:style w:type="paragraph" w:styleId="Textedebulles">
    <w:name w:val="Balloon Text"/>
    <w:basedOn w:val="Normal"/>
    <w:link w:val="TextedebullesCar"/>
    <w:uiPriority w:val="99"/>
    <w:semiHidden/>
    <w:unhideWhenUsed/>
    <w:rsid w:val="004B5E59"/>
    <w:rPr>
      <w:rFonts w:cs="Tahoma"/>
      <w:sz w:val="16"/>
      <w:szCs w:val="16"/>
    </w:rPr>
  </w:style>
  <w:style w:type="character" w:customStyle="1" w:styleId="TextedebullesCar">
    <w:name w:val="Texte de bulles Car"/>
    <w:basedOn w:val="Policepardfaut"/>
    <w:link w:val="Textedebulles"/>
    <w:uiPriority w:val="99"/>
    <w:semiHidden/>
    <w:rsid w:val="004B5E59"/>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philrobe</dc:creator>
  <cp:lastModifiedBy>cesdipadm</cp:lastModifiedBy>
  <cp:revision>2</cp:revision>
  <dcterms:created xsi:type="dcterms:W3CDTF">2019-05-20T13:04:00Z</dcterms:created>
  <dcterms:modified xsi:type="dcterms:W3CDTF">2019-05-20T13:04:00Z</dcterms:modified>
</cp:coreProperties>
</file>