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F" w:rsidRPr="00EF53E0" w:rsidRDefault="009D425F" w:rsidP="009D425F">
      <w:pPr>
        <w:pStyle w:val="Titre1"/>
      </w:pPr>
      <w:bookmarkStart w:id="0" w:name="_GoBack"/>
      <w:bookmarkEnd w:id="0"/>
      <w:r w:rsidRPr="00EF53E0">
        <w:t>Une baisse continue</w:t>
      </w:r>
    </w:p>
    <w:p w:rsidR="009D425F" w:rsidRPr="00EF53E0" w:rsidRDefault="009D425F" w:rsidP="009D425F">
      <w:pPr>
        <w:spacing w:before="240"/>
        <w:ind w:firstLine="142"/>
        <w:jc w:val="both"/>
        <w:rPr>
          <w:rFonts w:ascii="Garamond" w:hAnsi="Garamond"/>
          <w:szCs w:val="24"/>
        </w:rPr>
      </w:pPr>
      <w:r w:rsidRPr="00EF53E0">
        <w:rPr>
          <w:rFonts w:ascii="Garamond" w:hAnsi="Garamond"/>
          <w:szCs w:val="24"/>
        </w:rPr>
        <w:tab/>
        <w:t>À l’échelle nationale</w:t>
      </w:r>
      <w:r w:rsidRPr="00EF53E0">
        <w:rPr>
          <w:rStyle w:val="Appelnotedebasdep"/>
          <w:rFonts w:ascii="Garamond" w:hAnsi="Garamond"/>
          <w:szCs w:val="24"/>
        </w:rPr>
        <w:footnoteReference w:id="1"/>
      </w:r>
      <w:r w:rsidRPr="00EF53E0">
        <w:rPr>
          <w:rFonts w:ascii="Garamond" w:hAnsi="Garamond"/>
          <w:szCs w:val="24"/>
        </w:rPr>
        <w:t>, le seul indicateur qui permette de suivre l’évolution des atteintes aux véhicules sur le long terme est celui des vols de et dans/sur les voitures, dans la mesure où les neuf premières EPCVM ne distinguent pas entre ces deux victimations. On a fait le choix de calculer la proportion de victimes (prévalence) sur les seuls ménages équipés</w:t>
      </w:r>
      <w:r w:rsidRPr="00EF53E0">
        <w:rPr>
          <w:rStyle w:val="Appelnotedebasdep"/>
          <w:rFonts w:ascii="Garamond" w:hAnsi="Garamond"/>
          <w:szCs w:val="24"/>
        </w:rPr>
        <w:footnoteReference w:id="2"/>
      </w:r>
      <w:r w:rsidRPr="00EF53E0">
        <w:rPr>
          <w:rFonts w:ascii="Garamond" w:hAnsi="Garamond"/>
          <w:szCs w:val="24"/>
        </w:rPr>
        <w:t xml:space="preserve">, ce qui oblige à sacrifier dans un premier temps l’enquête CESDIP des années 1980 dans laquelle cette donnée n’existe pas. </w:t>
      </w:r>
    </w:p>
    <w:p w:rsidR="009D425F" w:rsidRPr="00EF53E0" w:rsidRDefault="009D425F" w:rsidP="009D425F">
      <w:pPr>
        <w:spacing w:before="40"/>
        <w:ind w:firstLine="142"/>
        <w:jc w:val="both"/>
        <w:rPr>
          <w:rFonts w:ascii="Garamond" w:hAnsi="Garamond"/>
          <w:szCs w:val="24"/>
        </w:rPr>
      </w:pPr>
      <w:r w:rsidRPr="00EF53E0">
        <w:rPr>
          <w:rFonts w:ascii="Garamond" w:hAnsi="Garamond"/>
          <w:szCs w:val="24"/>
        </w:rPr>
        <w:tab/>
        <w:t xml:space="preserve">Depuis le milieu des années 1990, en tous cas, le périmètre des ménages victimes de vols de et dans/sur les voitures se rétrécit de manière pratiquement continue et il est probable que les quelques rares accrocs que l’on repère sur la courbe sont surtout imputables à l’instabilité des protocoles d’enquête qui ont, certaines années, inclus explicitement les tentatives dans la formulation des questions. De toute manière, ces hoquets ne modifient pas la tendance générale. </w:t>
      </w:r>
    </w:p>
    <w:p w:rsidR="003266DC" w:rsidRDefault="003266DC" w:rsidP="003266DC">
      <w:pPr>
        <w:spacing w:before="40"/>
        <w:ind w:firstLine="142"/>
        <w:jc w:val="center"/>
        <w:rPr>
          <w:rFonts w:ascii="Garamond" w:hAnsi="Garamond"/>
          <w:sz w:val="20"/>
          <w:szCs w:val="20"/>
        </w:rPr>
      </w:pPr>
      <w:bookmarkStart w:id="1" w:name="_Toc255911360"/>
      <w:bookmarkStart w:id="2" w:name="_Ref255828331"/>
      <w:bookmarkStart w:id="3" w:name="_Toc256583715"/>
      <w:r>
        <w:rPr>
          <w:rFonts w:ascii="Garamond" w:hAnsi="Garamond"/>
          <w:sz w:val="20"/>
          <w:szCs w:val="20"/>
        </w:rPr>
        <w:t>Tableau 1 : Vols de et dans les voitures (ménages équipés), 1996-201</w:t>
      </w:r>
      <w:bookmarkEnd w:id="1"/>
      <w:r>
        <w:rPr>
          <w:rFonts w:ascii="Garamond" w:hAnsi="Garamond"/>
          <w:sz w:val="20"/>
          <w:szCs w:val="20"/>
        </w:rPr>
        <w:t>6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5"/>
        <w:gridCol w:w="1585"/>
        <w:gridCol w:w="1765"/>
        <w:gridCol w:w="1603"/>
      </w:tblGrid>
      <w:tr w:rsidR="003266DC" w:rsidTr="003266DC">
        <w:trPr>
          <w:tblHeader/>
        </w:trPr>
        <w:tc>
          <w:tcPr>
            <w:tcW w:w="1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Times New Roman"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sz w:val="20"/>
                <w:szCs w:val="20"/>
              </w:rPr>
              <w:t xml:space="preserve">% de ménages victimes de </w:t>
            </w:r>
            <w:bookmarkStart w:id="4" w:name="OLE_LINK1"/>
            <w:bookmarkStart w:id="5" w:name="OLE_LINK2"/>
            <w:r>
              <w:rPr>
                <w:rFonts w:ascii="Garamond" w:eastAsia="Garamond" w:hAnsi="Garamond" w:cs="Times New Roman"/>
                <w:sz w:val="20"/>
                <w:szCs w:val="20"/>
              </w:rPr>
              <w:t>vols de/dans/sur les voitures</w:t>
            </w:r>
            <w:bookmarkEnd w:id="4"/>
            <w:bookmarkEnd w:id="5"/>
            <w:r>
              <w:rPr>
                <w:rFonts w:ascii="Garamond" w:eastAsia="Garamond" w:hAnsi="Garamond" w:cs="Times New Roman"/>
                <w:sz w:val="20"/>
                <w:szCs w:val="20"/>
              </w:rPr>
              <w:t xml:space="preserve"> dans la population</w:t>
            </w:r>
          </w:p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Times New Roman"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sz w:val="20"/>
                <w:szCs w:val="20"/>
              </w:rPr>
              <w:t>(prévalence)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Times New Roman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i/>
                <w:iCs/>
                <w:sz w:val="20"/>
                <w:szCs w:val="20"/>
              </w:rPr>
              <w:t xml:space="preserve">nombre moyen de </w:t>
            </w:r>
            <w:r>
              <w:rPr>
                <w:rFonts w:ascii="Garamond" w:eastAsia="Garamond" w:hAnsi="Garamond" w:cs="Times New Roman"/>
                <w:sz w:val="20"/>
                <w:szCs w:val="20"/>
              </w:rPr>
              <w:t>vols de/dans/sur les voitures</w:t>
            </w:r>
            <w:r>
              <w:rPr>
                <w:rFonts w:ascii="Garamond" w:eastAsia="Garamond" w:hAnsi="Garamond" w:cs="Times New Roman"/>
                <w:i/>
                <w:iCs/>
                <w:sz w:val="20"/>
                <w:szCs w:val="20"/>
              </w:rPr>
              <w:t xml:space="preserve"> par ménage</w:t>
            </w:r>
          </w:p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Times New Roman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i/>
                <w:iCs/>
                <w:sz w:val="20"/>
                <w:szCs w:val="20"/>
              </w:rPr>
              <w:t>(multivictimation)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Times New Roman"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sz w:val="20"/>
                <w:szCs w:val="20"/>
              </w:rPr>
              <w:t>% de vols de/dans/sur les voitures dans la population</w:t>
            </w:r>
          </w:p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Times New Roman"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sz w:val="20"/>
                <w:szCs w:val="20"/>
              </w:rPr>
              <w:t>(incidence)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1994-95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15,45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1,54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23,73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1995-96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14,33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1,43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20,51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1996-97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13,92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1,41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19,59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1997-98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12,11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16,64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1998-99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13,46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1,41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19,03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1999-2000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11,66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16,57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2000-01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12,64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1,44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18,21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 xml:space="preserve">EPCV 2001-02 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11,35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1,39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15,81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2002-03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11,06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1,33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14,72</w:t>
            </w:r>
          </w:p>
        </w:tc>
      </w:tr>
      <w:tr w:rsidR="003266DC" w:rsidTr="003266DC">
        <w:tc>
          <w:tcPr>
            <w:tcW w:w="183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2003-04</w:t>
            </w:r>
          </w:p>
        </w:tc>
        <w:tc>
          <w:tcPr>
            <w:tcW w:w="158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10,38</w:t>
            </w:r>
          </w:p>
        </w:tc>
        <w:tc>
          <w:tcPr>
            <w:tcW w:w="176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1,43</w:t>
            </w:r>
          </w:p>
        </w:tc>
        <w:tc>
          <w:tcPr>
            <w:tcW w:w="16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14,79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thinThickMediumGap" w:sz="12" w:space="0" w:color="auto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EPCV 2004-05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thinThickMediumGap" w:sz="12" w:space="0" w:color="auto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12,80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thinThickMediumGap" w:sz="12" w:space="0" w:color="auto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1,54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thinThickMediumGap" w:sz="12" w:space="0" w:color="auto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19,69</w:t>
            </w:r>
          </w:p>
        </w:tc>
      </w:tr>
      <w:tr w:rsidR="003266DC" w:rsidTr="003266DC">
        <w:tc>
          <w:tcPr>
            <w:tcW w:w="1835" w:type="dxa"/>
            <w:tcBorders>
              <w:top w:val="thinThickMediumGap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2005-06</w:t>
            </w:r>
          </w:p>
        </w:tc>
        <w:tc>
          <w:tcPr>
            <w:tcW w:w="1585" w:type="dxa"/>
            <w:tcBorders>
              <w:top w:val="thinThickMediumGap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10,40</w:t>
            </w:r>
          </w:p>
        </w:tc>
        <w:tc>
          <w:tcPr>
            <w:tcW w:w="1765" w:type="dxa"/>
            <w:tcBorders>
              <w:top w:val="thinThickMediumGap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603" w:type="dxa"/>
            <w:tcBorders>
              <w:top w:val="thinThickMediumGap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14,57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 xml:space="preserve">CVS 2006-07 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1,38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13,79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2007-08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8,85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12,09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2008-09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8,33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1,35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11,25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2009-10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7,82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1,31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10,23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2010-11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7,30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1,31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9,60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2011-12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7,11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1,28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9,13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2012-13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7,26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9,42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2013-14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6,67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8,66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2014-15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6,18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1,27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7,87</w:t>
            </w:r>
          </w:p>
        </w:tc>
      </w:tr>
      <w:tr w:rsidR="003266DC" w:rsidTr="003266DC"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both"/>
              <w:rPr>
                <w:rFonts w:ascii="Garamond" w:eastAsia="Garamond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Garamond" w:hAnsi="Garamond" w:cs="Times New Roman"/>
                <w:bCs/>
                <w:sz w:val="20"/>
                <w:szCs w:val="20"/>
              </w:rPr>
              <w:t>CVS 2015-16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6,15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right"/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eastAsia="Garamond" w:hAnsi="Garamond" w:cs="Arial"/>
                <w:i/>
                <w:iCs/>
                <w:sz w:val="20"/>
                <w:szCs w:val="20"/>
              </w:rPr>
              <w:t>1,27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  <w:hideMark/>
          </w:tcPr>
          <w:p w:rsidR="003266DC" w:rsidRDefault="003266DC" w:rsidP="003266DC">
            <w:pPr>
              <w:keepNext/>
              <w:spacing w:line="276" w:lineRule="auto"/>
              <w:jc w:val="center"/>
              <w:rPr>
                <w:rFonts w:ascii="Garamond" w:eastAsia="Garamond" w:hAnsi="Garamond" w:cs="Arial"/>
                <w:sz w:val="20"/>
                <w:szCs w:val="20"/>
              </w:rPr>
            </w:pPr>
            <w:r>
              <w:rPr>
                <w:rFonts w:ascii="Garamond" w:eastAsia="Garamond" w:hAnsi="Garamond" w:cs="Arial"/>
                <w:sz w:val="20"/>
                <w:szCs w:val="20"/>
              </w:rPr>
              <w:t>7,82</w:t>
            </w:r>
          </w:p>
        </w:tc>
      </w:tr>
    </w:tbl>
    <w:p w:rsidR="003266DC" w:rsidRDefault="003266DC" w:rsidP="003266DC">
      <w:pPr>
        <w:keepNext/>
        <w:jc w:val="both"/>
        <w:rPr>
          <w:rFonts w:ascii="Garamond" w:hAnsi="Garamond"/>
          <w:szCs w:val="24"/>
        </w:rPr>
      </w:pPr>
    </w:p>
    <w:p w:rsidR="003266DC" w:rsidRDefault="003266DC" w:rsidP="003266DC">
      <w:pPr>
        <w:keepNext/>
        <w:jc w:val="both"/>
        <w:rPr>
          <w:rFonts w:ascii="Garamond" w:hAnsi="Garamond"/>
          <w:szCs w:val="24"/>
        </w:rPr>
      </w:pPr>
    </w:p>
    <w:p w:rsidR="003266DC" w:rsidRDefault="003266DC" w:rsidP="003266DC">
      <w:pPr>
        <w:keepNext/>
        <w:jc w:val="both"/>
        <w:rPr>
          <w:rFonts w:ascii="Garamond" w:hAnsi="Garamond"/>
          <w:szCs w:val="24"/>
        </w:rPr>
      </w:pPr>
    </w:p>
    <w:p w:rsidR="003266DC" w:rsidRDefault="003266DC" w:rsidP="003266DC">
      <w:pPr>
        <w:keepNext/>
        <w:ind w:firstLine="1077"/>
        <w:jc w:val="both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Sources : CESDIP, INSEE</w:t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  <w:t>Champ : France métropolitaine</w:t>
      </w:r>
    </w:p>
    <w:p w:rsidR="009D425F" w:rsidRPr="00EF53E0" w:rsidRDefault="009D425F" w:rsidP="009D425F">
      <w:pPr>
        <w:jc w:val="both"/>
        <w:rPr>
          <w:rFonts w:ascii="Garamond" w:hAnsi="Garamond"/>
          <w:szCs w:val="24"/>
        </w:rPr>
      </w:pPr>
    </w:p>
    <w:p w:rsidR="009D425F" w:rsidRPr="00EF53E0" w:rsidRDefault="009D425F" w:rsidP="009D425F">
      <w:pPr>
        <w:jc w:val="both"/>
        <w:rPr>
          <w:rFonts w:ascii="Garamond" w:hAnsi="Garamond"/>
          <w:szCs w:val="24"/>
        </w:rPr>
      </w:pPr>
    </w:p>
    <w:p w:rsidR="009D425F" w:rsidRPr="00EF53E0" w:rsidRDefault="009D425F" w:rsidP="009D425F">
      <w:pPr>
        <w:jc w:val="both"/>
        <w:rPr>
          <w:rFonts w:ascii="Garamond" w:hAnsi="Garamond"/>
          <w:szCs w:val="24"/>
        </w:rPr>
      </w:pPr>
    </w:p>
    <w:p w:rsidR="009D425F" w:rsidRDefault="009D425F" w:rsidP="009D425F">
      <w:pPr>
        <w:ind w:firstLine="1077"/>
        <w:jc w:val="both"/>
        <w:rPr>
          <w:rFonts w:ascii="Garamond" w:hAnsi="Garamond"/>
          <w:i/>
          <w:sz w:val="16"/>
          <w:szCs w:val="16"/>
        </w:rPr>
      </w:pPr>
      <w:r w:rsidRPr="00EF53E0">
        <w:rPr>
          <w:rFonts w:ascii="Garamond" w:hAnsi="Garamond"/>
          <w:i/>
          <w:sz w:val="16"/>
          <w:szCs w:val="16"/>
        </w:rPr>
        <w:lastRenderedPageBreak/>
        <w:t>Sources : CESDIP, INSEE</w:t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  <w:t>Champ : France métropolitaine</w:t>
      </w:r>
    </w:p>
    <w:p w:rsidR="009D425F" w:rsidRPr="00EF53E0" w:rsidRDefault="009D425F" w:rsidP="009D425F">
      <w:pPr>
        <w:ind w:firstLine="1077"/>
        <w:jc w:val="both"/>
        <w:rPr>
          <w:rFonts w:ascii="Garamond" w:hAnsi="Garamond"/>
          <w:i/>
          <w:sz w:val="16"/>
          <w:szCs w:val="16"/>
        </w:rPr>
      </w:pPr>
    </w:p>
    <w:p w:rsidR="009D425F" w:rsidRPr="00EF53E0" w:rsidRDefault="009D425F" w:rsidP="009D425F">
      <w:pPr>
        <w:jc w:val="both"/>
        <w:rPr>
          <w:rFonts w:ascii="Garamond" w:hAnsi="Garamond"/>
        </w:rPr>
      </w:pPr>
      <w:r w:rsidRPr="00EF53E0">
        <w:rPr>
          <w:rFonts w:ascii="Garamond" w:hAnsi="Garamond"/>
        </w:rPr>
        <w:tab/>
        <w:t>Celle-ci est d’ailleurs confirmée par les enquêtes réalisées par l’IAU-IdF depuis 2001. En Île-de-France, on retrouve bien le mouvement à la baisse, mais l’ordre de grandeur est plus élevé qu’à l’échelle nationale (figure 1) ; on ne s’en étonnera pas, puisqu’il s’agit d’aires fortement urbanisées où la victimation patrimoniale est généralement plus importante que dans l’ensemble du territoire</w:t>
      </w:r>
      <w:r w:rsidRPr="00EF53E0">
        <w:rPr>
          <w:rFonts w:ascii="Garamond" w:hAnsi="Garamond"/>
          <w:vertAlign w:val="superscript"/>
        </w:rPr>
        <w:footnoteReference w:id="3"/>
      </w:r>
      <w:r w:rsidRPr="00EF53E0">
        <w:rPr>
          <w:rFonts w:ascii="Garamond" w:hAnsi="Garamond"/>
        </w:rPr>
        <w:t> ; on voit d’ailleurs cette survictimation s’accentuer encore dans les quelques enquêtes urbaines ponctuelles conduites par le CESDIP.</w:t>
      </w:r>
    </w:p>
    <w:p w:rsidR="009D425F" w:rsidRDefault="009D425F" w:rsidP="009D425F">
      <w:pPr>
        <w:pStyle w:val="Lgende"/>
      </w:pPr>
      <w:r w:rsidRPr="00EF53E0">
        <w:t xml:space="preserve">Figure </w:t>
      </w:r>
      <w:bookmarkEnd w:id="2"/>
      <w:r w:rsidRPr="00EF53E0">
        <w:t>1 : Vols de/dans/sur voitures, ménages équipés victimes dans la population (prévalence), diverses enquêtes, 1994-201</w:t>
      </w:r>
      <w:bookmarkEnd w:id="3"/>
      <w:r w:rsidRPr="00EF53E0">
        <w:t xml:space="preserve">6 </w:t>
      </w:r>
    </w:p>
    <w:p w:rsidR="009D425F" w:rsidRPr="00EF53E0" w:rsidRDefault="009D425F" w:rsidP="009D425F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42302E56" wp14:editId="4D6E71BB">
            <wp:extent cx="4406400" cy="268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400" cy="26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5F" w:rsidRPr="00EF53E0" w:rsidRDefault="009D425F" w:rsidP="009D425F">
      <w:pPr>
        <w:jc w:val="center"/>
        <w:rPr>
          <w:rFonts w:ascii="Garamond" w:hAnsi="Garamond"/>
          <w:i/>
          <w:sz w:val="16"/>
          <w:szCs w:val="16"/>
        </w:rPr>
      </w:pPr>
      <w:r w:rsidRPr="00EF53E0">
        <w:rPr>
          <w:rFonts w:ascii="Garamond" w:hAnsi="Garamond"/>
          <w:i/>
          <w:sz w:val="16"/>
          <w:szCs w:val="16"/>
        </w:rPr>
        <w:t>Source : CESDIP, INSEE, IAU-</w:t>
      </w:r>
      <w:proofErr w:type="spellStart"/>
      <w:r w:rsidRPr="00EF53E0">
        <w:rPr>
          <w:rFonts w:ascii="Garamond" w:hAnsi="Garamond"/>
          <w:i/>
          <w:sz w:val="16"/>
          <w:szCs w:val="16"/>
        </w:rPr>
        <w:t>ÎdF</w:t>
      </w:r>
      <w:proofErr w:type="spellEnd"/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</w:r>
      <w:r w:rsidRPr="00EF53E0">
        <w:rPr>
          <w:rFonts w:ascii="Garamond" w:hAnsi="Garamond"/>
          <w:i/>
          <w:sz w:val="16"/>
          <w:szCs w:val="16"/>
        </w:rPr>
        <w:tab/>
        <w:t>Champ : Variable selon les enquêtes</w:t>
      </w:r>
    </w:p>
    <w:p w:rsidR="009D425F" w:rsidRPr="00EF53E0" w:rsidRDefault="009D425F" w:rsidP="009D425F">
      <w:pPr>
        <w:spacing w:before="40"/>
        <w:ind w:firstLine="142"/>
        <w:jc w:val="both"/>
        <w:rPr>
          <w:rFonts w:ascii="Garamond" w:hAnsi="Garamond"/>
          <w:szCs w:val="24"/>
        </w:rPr>
      </w:pPr>
    </w:p>
    <w:p w:rsidR="009D425F" w:rsidRPr="00EF53E0" w:rsidRDefault="009D425F" w:rsidP="009D425F">
      <w:pPr>
        <w:spacing w:before="40"/>
        <w:ind w:firstLine="142"/>
        <w:jc w:val="both"/>
        <w:rPr>
          <w:rFonts w:ascii="Garamond" w:hAnsi="Garamond"/>
          <w:szCs w:val="24"/>
        </w:rPr>
      </w:pPr>
      <w:r w:rsidRPr="00EF53E0">
        <w:rPr>
          <w:rFonts w:ascii="Garamond" w:hAnsi="Garamond"/>
          <w:szCs w:val="24"/>
        </w:rPr>
        <w:tab/>
        <w:t>Chaque ménage peut être victime de plusieurs atteintes à ses voitures pendant la période biennale ; jusqu’en 2008-09, le nombre moyen de multivictimation était resté autour de 1,4 en deux ans avant de se replier en dessous de 1,3 ; le pourcentage d’atteintes aux voitures évolue à peu près de conserve avec celui des ménages victimés.</w:t>
      </w:r>
    </w:p>
    <w:p w:rsidR="009F4C8C" w:rsidRDefault="009D425F" w:rsidP="009D425F">
      <w:pPr>
        <w:rPr>
          <w:rFonts w:ascii="Garamond" w:hAnsi="Garamond"/>
          <w:szCs w:val="24"/>
        </w:rPr>
      </w:pPr>
      <w:r w:rsidRPr="00EF53E0">
        <w:rPr>
          <w:rFonts w:ascii="Garamond" w:hAnsi="Garamond"/>
          <w:szCs w:val="24"/>
        </w:rPr>
        <w:tab/>
        <w:t>Il est donc finalement raisonnable de conclure que l’importance de cette victimation a continûment diminué depuis une vingtaine d’années.</w:t>
      </w:r>
    </w:p>
    <w:p w:rsidR="009D425F" w:rsidRDefault="009D425F" w:rsidP="009D425F">
      <w:pPr>
        <w:rPr>
          <w:rFonts w:ascii="Garamond" w:hAnsi="Garamond"/>
          <w:szCs w:val="24"/>
        </w:rPr>
      </w:pPr>
    </w:p>
    <w:p w:rsidR="009D425F" w:rsidRDefault="009D425F" w:rsidP="009D425F">
      <w:pPr>
        <w:pStyle w:val="Titre1"/>
      </w:pPr>
      <w:r>
        <w:t>Référence</w:t>
      </w:r>
    </w:p>
    <w:p w:rsidR="009D425F" w:rsidRPr="009D425F" w:rsidRDefault="009D425F" w:rsidP="009D425F">
      <w:pPr>
        <w:rPr>
          <w:rFonts w:ascii="Garamond" w:hAnsi="Garamond"/>
        </w:rPr>
      </w:pPr>
    </w:p>
    <w:p w:rsidR="009D425F" w:rsidRPr="00EF53E0" w:rsidRDefault="009D425F" w:rsidP="009D425F">
      <w:pPr>
        <w:spacing w:before="40"/>
        <w:ind w:left="142" w:hanging="142"/>
        <w:jc w:val="both"/>
        <w:rPr>
          <w:rFonts w:ascii="Garamond" w:hAnsi="Garamond"/>
          <w:szCs w:val="24"/>
        </w:rPr>
      </w:pPr>
      <w:r w:rsidRPr="00EF53E0">
        <w:rPr>
          <w:rFonts w:ascii="Garamond" w:hAnsi="Garamond"/>
          <w:smallCaps/>
          <w:szCs w:val="24"/>
        </w:rPr>
        <w:t>Robert Ph., Zauberman R.</w:t>
      </w:r>
      <w:r w:rsidRPr="00EF53E0">
        <w:rPr>
          <w:rFonts w:ascii="Garamond" w:hAnsi="Garamond"/>
          <w:szCs w:val="24"/>
        </w:rPr>
        <w:t xml:space="preserve">, 2011, </w:t>
      </w:r>
      <w:r w:rsidRPr="00EF53E0">
        <w:rPr>
          <w:rFonts w:ascii="Garamond" w:hAnsi="Garamond"/>
          <w:i/>
          <w:szCs w:val="24"/>
        </w:rPr>
        <w:t xml:space="preserve">Mesurer la délinquance, </w:t>
      </w:r>
      <w:r w:rsidRPr="00EF53E0">
        <w:rPr>
          <w:rFonts w:ascii="Garamond" w:hAnsi="Garamond"/>
          <w:szCs w:val="24"/>
        </w:rPr>
        <w:t>Paris, Presses de Sciences Po.</w:t>
      </w:r>
    </w:p>
    <w:p w:rsidR="009D425F" w:rsidRPr="009D425F" w:rsidRDefault="009D425F" w:rsidP="009D425F">
      <w:pPr>
        <w:rPr>
          <w:rFonts w:ascii="Garamond" w:hAnsi="Garamond"/>
        </w:rPr>
      </w:pPr>
    </w:p>
    <w:p w:rsidR="009D425F" w:rsidRPr="009D425F" w:rsidRDefault="009D425F" w:rsidP="009D425F">
      <w:pPr>
        <w:rPr>
          <w:rFonts w:ascii="Garamond" w:hAnsi="Garamond"/>
        </w:rPr>
      </w:pPr>
    </w:p>
    <w:sectPr w:rsidR="009D425F" w:rsidRPr="009D4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90" w:rsidRDefault="004B3090" w:rsidP="009D425F">
      <w:r>
        <w:separator/>
      </w:r>
    </w:p>
  </w:endnote>
  <w:endnote w:type="continuationSeparator" w:id="0">
    <w:p w:rsidR="004B3090" w:rsidRDefault="004B3090" w:rsidP="009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3718"/>
      <w:docPartObj>
        <w:docPartGallery w:val="Page Numbers (Bottom of Page)"/>
        <w:docPartUnique/>
      </w:docPartObj>
    </w:sdtPr>
    <w:sdtEndPr/>
    <w:sdtContent>
      <w:p w:rsidR="00DE4264" w:rsidRDefault="00DE42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59">
          <w:rPr>
            <w:noProof/>
          </w:rPr>
          <w:t>1</w:t>
        </w:r>
        <w:r>
          <w:fldChar w:fldCharType="end"/>
        </w:r>
      </w:p>
    </w:sdtContent>
  </w:sdt>
  <w:p w:rsidR="00DE4264" w:rsidRDefault="00DE42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90" w:rsidRDefault="004B3090" w:rsidP="009D425F">
      <w:r>
        <w:separator/>
      </w:r>
    </w:p>
  </w:footnote>
  <w:footnote w:type="continuationSeparator" w:id="0">
    <w:p w:rsidR="004B3090" w:rsidRDefault="004B3090" w:rsidP="009D425F">
      <w:r>
        <w:continuationSeparator/>
      </w:r>
    </w:p>
  </w:footnote>
  <w:footnote w:id="1">
    <w:p w:rsidR="009D425F" w:rsidRPr="00012975" w:rsidRDefault="009D425F" w:rsidP="009D425F">
      <w:pPr>
        <w:pStyle w:val="Notedebasdepage"/>
        <w:jc w:val="both"/>
        <w:rPr>
          <w:rFonts w:ascii="Garamond" w:hAnsi="Garamond"/>
        </w:rPr>
      </w:pPr>
      <w:r w:rsidRPr="00012975">
        <w:rPr>
          <w:rStyle w:val="Appelnotedebasdep"/>
          <w:rFonts w:ascii="Garamond" w:hAnsi="Garamond"/>
        </w:rPr>
        <w:footnoteRef/>
      </w:r>
      <w:r w:rsidRPr="00012975">
        <w:rPr>
          <w:rFonts w:ascii="Garamond" w:hAnsi="Garamond"/>
        </w:rPr>
        <w:t xml:space="preserve"> Plus exactement de la France métropolitaine.</w:t>
      </w:r>
    </w:p>
  </w:footnote>
  <w:footnote w:id="2">
    <w:p w:rsidR="009D425F" w:rsidRPr="00012975" w:rsidRDefault="009D425F" w:rsidP="009D425F">
      <w:pPr>
        <w:pStyle w:val="Notedebasdepage"/>
        <w:jc w:val="both"/>
        <w:rPr>
          <w:rFonts w:ascii="Garamond" w:hAnsi="Garamond"/>
        </w:rPr>
      </w:pPr>
      <w:r w:rsidRPr="00012975">
        <w:rPr>
          <w:rStyle w:val="Appelnotedebasdep"/>
          <w:rFonts w:ascii="Garamond" w:hAnsi="Garamond"/>
        </w:rPr>
        <w:footnoteRef/>
      </w:r>
      <w:r w:rsidRPr="00012975">
        <w:rPr>
          <w:rFonts w:ascii="Garamond" w:hAnsi="Garamond"/>
        </w:rPr>
        <w:t xml:space="preserve"> C’est-à-dire détenteurs d’au moins une voiture au cours de la période observée.</w:t>
      </w:r>
    </w:p>
  </w:footnote>
  <w:footnote w:id="3">
    <w:p w:rsidR="009D425F" w:rsidRPr="00012975" w:rsidRDefault="009D425F" w:rsidP="009D425F">
      <w:pPr>
        <w:pStyle w:val="Notedebasdepage"/>
        <w:jc w:val="both"/>
        <w:rPr>
          <w:rFonts w:ascii="Garamond" w:hAnsi="Garamond"/>
        </w:rPr>
      </w:pPr>
      <w:r w:rsidRPr="00012975">
        <w:rPr>
          <w:rStyle w:val="Appelnotedebasdep"/>
          <w:rFonts w:ascii="Garamond" w:hAnsi="Garamond"/>
        </w:rPr>
        <w:footnoteRef/>
      </w:r>
      <w:r w:rsidRPr="00012975">
        <w:rPr>
          <w:rFonts w:ascii="Garamond" w:hAnsi="Garamond"/>
        </w:rPr>
        <w:t xml:space="preserve"> En ce sens, Robert, Zauberman, 2011, 123.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F"/>
    <w:rsid w:val="0002106C"/>
    <w:rsid w:val="00057F75"/>
    <w:rsid w:val="00060A7F"/>
    <w:rsid w:val="00131A29"/>
    <w:rsid w:val="00225E23"/>
    <w:rsid w:val="00252C18"/>
    <w:rsid w:val="003266DC"/>
    <w:rsid w:val="004B3090"/>
    <w:rsid w:val="00970A84"/>
    <w:rsid w:val="009D425F"/>
    <w:rsid w:val="009F4C8C"/>
    <w:rsid w:val="00A00857"/>
    <w:rsid w:val="00B866D3"/>
    <w:rsid w:val="00CF7E3E"/>
    <w:rsid w:val="00DA6959"/>
    <w:rsid w:val="00DE4264"/>
    <w:rsid w:val="00DF2773"/>
    <w:rsid w:val="00DF423D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5F"/>
    <w:pPr>
      <w:spacing w:after="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25E23"/>
    <w:pPr>
      <w:keepNext/>
      <w:keepLines/>
      <w:spacing w:before="480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E23"/>
    <w:pPr>
      <w:keepNext/>
      <w:keepLines/>
      <w:spacing w:before="200"/>
      <w:jc w:val="center"/>
      <w:outlineLvl w:val="1"/>
    </w:pPr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225E2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E23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25E23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5E23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9D42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425F"/>
    <w:rPr>
      <w:sz w:val="20"/>
      <w:szCs w:val="20"/>
    </w:rPr>
  </w:style>
  <w:style w:type="character" w:styleId="Appelnotedebasdep">
    <w:name w:val="footnote reference"/>
    <w:aliases w:val="note de bas de p.,gar"/>
    <w:basedOn w:val="Policepardfaut"/>
    <w:unhideWhenUsed/>
    <w:qFormat/>
    <w:rsid w:val="009D425F"/>
    <w:rPr>
      <w:vertAlign w:val="superscript"/>
    </w:rPr>
  </w:style>
  <w:style w:type="paragraph" w:styleId="Lgende">
    <w:name w:val="caption"/>
    <w:basedOn w:val="Normal"/>
    <w:next w:val="Normal"/>
    <w:link w:val="LgendeCar"/>
    <w:autoRedefine/>
    <w:qFormat/>
    <w:rsid w:val="009D425F"/>
    <w:pPr>
      <w:spacing w:before="240"/>
      <w:jc w:val="center"/>
    </w:pPr>
    <w:rPr>
      <w:rFonts w:ascii="Garamond" w:eastAsia="Times New Roman" w:hAnsi="Garamond" w:cs="Times New Roman"/>
      <w:bCs/>
      <w:i/>
      <w:sz w:val="20"/>
      <w:szCs w:val="20"/>
      <w:lang w:eastAsia="fr-FR"/>
    </w:rPr>
  </w:style>
  <w:style w:type="character" w:customStyle="1" w:styleId="LgendeCar">
    <w:name w:val="Légende Car"/>
    <w:basedOn w:val="Policepardfaut"/>
    <w:link w:val="Lgende"/>
    <w:rsid w:val="009D425F"/>
    <w:rPr>
      <w:rFonts w:ascii="Garamond" w:eastAsia="Times New Roman" w:hAnsi="Garamond" w:cs="Times New Roman"/>
      <w:bCs/>
      <w:i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42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264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E42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2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5F"/>
    <w:pPr>
      <w:spacing w:after="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25E23"/>
    <w:pPr>
      <w:keepNext/>
      <w:keepLines/>
      <w:spacing w:before="480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E23"/>
    <w:pPr>
      <w:keepNext/>
      <w:keepLines/>
      <w:spacing w:before="200"/>
      <w:jc w:val="center"/>
      <w:outlineLvl w:val="1"/>
    </w:pPr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225E2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E23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25E23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5E23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9D42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425F"/>
    <w:rPr>
      <w:sz w:val="20"/>
      <w:szCs w:val="20"/>
    </w:rPr>
  </w:style>
  <w:style w:type="character" w:styleId="Appelnotedebasdep">
    <w:name w:val="footnote reference"/>
    <w:aliases w:val="note de bas de p.,gar"/>
    <w:basedOn w:val="Policepardfaut"/>
    <w:unhideWhenUsed/>
    <w:qFormat/>
    <w:rsid w:val="009D425F"/>
    <w:rPr>
      <w:vertAlign w:val="superscript"/>
    </w:rPr>
  </w:style>
  <w:style w:type="paragraph" w:styleId="Lgende">
    <w:name w:val="caption"/>
    <w:basedOn w:val="Normal"/>
    <w:next w:val="Normal"/>
    <w:link w:val="LgendeCar"/>
    <w:autoRedefine/>
    <w:qFormat/>
    <w:rsid w:val="009D425F"/>
    <w:pPr>
      <w:spacing w:before="240"/>
      <w:jc w:val="center"/>
    </w:pPr>
    <w:rPr>
      <w:rFonts w:ascii="Garamond" w:eastAsia="Times New Roman" w:hAnsi="Garamond" w:cs="Times New Roman"/>
      <w:bCs/>
      <w:i/>
      <w:sz w:val="20"/>
      <w:szCs w:val="20"/>
      <w:lang w:eastAsia="fr-FR"/>
    </w:rPr>
  </w:style>
  <w:style w:type="character" w:customStyle="1" w:styleId="LgendeCar">
    <w:name w:val="Légende Car"/>
    <w:basedOn w:val="Policepardfaut"/>
    <w:link w:val="Lgende"/>
    <w:rsid w:val="009D425F"/>
    <w:rPr>
      <w:rFonts w:ascii="Garamond" w:eastAsia="Times New Roman" w:hAnsi="Garamond" w:cs="Times New Roman"/>
      <w:bCs/>
      <w:i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42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264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E42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2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philrobe</dc:creator>
  <cp:lastModifiedBy>cesdipadm</cp:lastModifiedBy>
  <cp:revision>2</cp:revision>
  <dcterms:created xsi:type="dcterms:W3CDTF">2019-05-15T14:08:00Z</dcterms:created>
  <dcterms:modified xsi:type="dcterms:W3CDTF">2019-05-15T14:08:00Z</dcterms:modified>
</cp:coreProperties>
</file>