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7D" w:rsidRPr="006C072E" w:rsidRDefault="00FE6C7D" w:rsidP="00FE6C7D">
      <w:pPr>
        <w:keepNext/>
        <w:keepLines/>
        <w:spacing w:before="360"/>
        <w:jc w:val="center"/>
        <w:outlineLvl w:val="0"/>
        <w:rPr>
          <w:rFonts w:eastAsia="Times New Roman" w:cs="Times New Roman"/>
          <w:b/>
          <w:bCs/>
          <w:color w:val="365F91"/>
          <w:sz w:val="24"/>
          <w:szCs w:val="24"/>
          <w:vertAlign w:val="baseline"/>
          <w:lang w:eastAsia="en-US"/>
        </w:rPr>
      </w:pPr>
      <w:bookmarkStart w:id="0" w:name="_GoBack"/>
      <w:bookmarkEnd w:id="0"/>
      <w:r w:rsidRPr="006C072E">
        <w:rPr>
          <w:rFonts w:eastAsia="Times New Roman" w:cs="Times New Roman"/>
          <w:b/>
          <w:bCs/>
          <w:color w:val="365F91"/>
          <w:sz w:val="24"/>
          <w:szCs w:val="24"/>
          <w:vertAlign w:val="baseline"/>
          <w:lang w:eastAsia="en-US"/>
        </w:rPr>
        <w:t>Une propension au renvoi très variable selon les victimations</w:t>
      </w:r>
    </w:p>
    <w:p w:rsidR="00FE6C7D" w:rsidRPr="006C072E" w:rsidRDefault="00FE6C7D" w:rsidP="00FE6C7D">
      <w:pPr>
        <w:rPr>
          <w:rFonts w:eastAsia="Calibri" w:cs="Times New Roman"/>
          <w:sz w:val="24"/>
          <w:szCs w:val="24"/>
          <w:vertAlign w:val="baseline"/>
          <w:lang w:eastAsia="en-US"/>
        </w:rPr>
      </w:pPr>
    </w:p>
    <w:p w:rsidR="00FE6C7D" w:rsidRPr="006C072E" w:rsidRDefault="00FE6C7D" w:rsidP="00FE6C7D">
      <w:pPr>
        <w:spacing w:before="120" w:after="240"/>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ab/>
        <w:t>Malgré l’instabilité des protocoles nationaux, il est possible, moyennant certaines précautions, de reconstituer, pour un nombre réduit de victimations, des séries qui prennent en compte les taux de renvoi de l’ensemble des enquêtes disponibles.</w:t>
      </w:r>
    </w:p>
    <w:p w:rsidR="00FE6C7D" w:rsidRPr="006C072E" w:rsidRDefault="00FE6C7D" w:rsidP="00D36DF1">
      <w:pPr>
        <w:keepNext/>
        <w:spacing w:before="120" w:after="60"/>
        <w:jc w:val="center"/>
        <w:rPr>
          <w:rFonts w:eastAsia="Calibri" w:cs="Times New Roman"/>
          <w:i/>
          <w:vertAlign w:val="baseline"/>
          <w:lang w:eastAsia="en-US"/>
        </w:rPr>
      </w:pPr>
      <w:r w:rsidRPr="006C072E">
        <w:rPr>
          <w:rFonts w:eastAsia="Calibri" w:cs="Times New Roman"/>
          <w:i/>
          <w:vertAlign w:val="baseline"/>
          <w:lang w:eastAsia="en-US"/>
        </w:rPr>
        <w:t xml:space="preserve">Tableau 1 : taux de renvoi par victimation </w:t>
      </w:r>
      <w:proofErr w:type="gramStart"/>
      <w:r w:rsidRPr="006C072E">
        <w:rPr>
          <w:rFonts w:eastAsia="Calibri" w:cs="Times New Roman"/>
          <w:i/>
          <w:vertAlign w:val="baseline"/>
          <w:lang w:eastAsia="en-US"/>
        </w:rPr>
        <w:t>( %</w:t>
      </w:r>
      <w:proofErr w:type="gramEnd"/>
      <w:r w:rsidRPr="006C072E">
        <w:rPr>
          <w:rFonts w:eastAsia="Calibri" w:cs="Times New Roman"/>
          <w:i/>
          <w:vertAlign w:val="baseline"/>
          <w:lang w:eastAsia="en-US"/>
        </w:rPr>
        <w:t>) ; enquêtes nationales</w:t>
      </w:r>
      <w:r>
        <w:rPr>
          <w:rFonts w:eastAsia="Calibri" w:cs="Times New Roman"/>
          <w:i/>
          <w:vertAlign w:val="baseline"/>
          <w:lang w:eastAsia="en-US"/>
        </w:rPr>
        <w:t>,</w:t>
      </w:r>
      <w:r w:rsidRPr="006C072E">
        <w:rPr>
          <w:rFonts w:eastAsia="Calibri" w:cs="Times New Roman"/>
          <w:i/>
          <w:vertAlign w:val="baseline"/>
          <w:lang w:eastAsia="en-US"/>
        </w:rPr>
        <w:t xml:space="preserve"> 1984-201</w:t>
      </w:r>
      <w:r>
        <w:rPr>
          <w:rFonts w:eastAsia="Calibri" w:cs="Times New Roman"/>
          <w:i/>
          <w:vertAlign w:val="baseline"/>
          <w:lang w:eastAsia="en-US"/>
        </w:rPr>
        <w:t>6,</w:t>
      </w:r>
      <w:r w:rsidRPr="006C072E">
        <w:rPr>
          <w:rFonts w:eastAsia="Calibri" w:cs="Times New Roman"/>
          <w:i/>
          <w:vertAlign w:val="baseline"/>
          <w:lang w:eastAsia="en-US"/>
        </w:rPr>
        <w:t xml:space="preserve"> et franciliennes</w:t>
      </w:r>
      <w:r>
        <w:rPr>
          <w:rFonts w:eastAsia="Calibri" w:cs="Times New Roman"/>
          <w:i/>
          <w:vertAlign w:val="baseline"/>
          <w:lang w:eastAsia="en-US"/>
        </w:rPr>
        <w:t>,</w:t>
      </w:r>
      <w:r w:rsidRPr="006C072E">
        <w:rPr>
          <w:rFonts w:eastAsia="Calibri" w:cs="Times New Roman"/>
          <w:i/>
          <w:vertAlign w:val="baseline"/>
          <w:lang w:eastAsia="en-US"/>
        </w:rPr>
        <w:t xml:space="preserve"> 1999-201</w:t>
      </w:r>
      <w:r>
        <w:rPr>
          <w:rFonts w:eastAsia="Calibri" w:cs="Times New Roman"/>
          <w:i/>
          <w:vertAlign w:val="baseline"/>
          <w:lang w:eastAsia="en-US"/>
        </w:rPr>
        <w:t>6</w:t>
      </w:r>
      <w:r w:rsidRPr="006C072E">
        <w:rPr>
          <w:rFonts w:eastAsia="Calibri" w:cs="Times New Roman"/>
          <w:i/>
          <w:vertAlign w:val="baseline"/>
          <w:lang w:eastAsia="en-US"/>
        </w:rPr>
        <w:t xml:space="preserve"> </w:t>
      </w:r>
    </w:p>
    <w:tbl>
      <w:tblPr>
        <w:tblW w:w="984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66"/>
        <w:gridCol w:w="1058"/>
        <w:gridCol w:w="1096"/>
        <w:gridCol w:w="796"/>
        <w:gridCol w:w="847"/>
        <w:gridCol w:w="1036"/>
        <w:gridCol w:w="961"/>
        <w:gridCol w:w="901"/>
        <w:gridCol w:w="844"/>
        <w:gridCol w:w="844"/>
      </w:tblGrid>
      <w:tr w:rsidR="00FE6C7D" w:rsidRPr="00C2601B" w:rsidTr="00F90A64">
        <w:trPr>
          <w:tblHeader/>
          <w:jc w:val="center"/>
        </w:trPr>
        <w:tc>
          <w:tcPr>
            <w:tcW w:w="1466" w:type="dxa"/>
            <w:tcBorders>
              <w:top w:val="nil"/>
              <w:left w:val="nil"/>
              <w:bottom w:val="doub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p>
        </w:tc>
        <w:tc>
          <w:tcPr>
            <w:tcW w:w="1058" w:type="dxa"/>
            <w:tcBorders>
              <w:bottom w:val="doub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cambriolage résidence principale</w:t>
            </w:r>
          </w:p>
        </w:tc>
        <w:tc>
          <w:tcPr>
            <w:tcW w:w="1096" w:type="dxa"/>
            <w:tcBorders>
              <w:bottom w:val="double" w:sz="4" w:space="0" w:color="808080"/>
            </w:tcBorders>
            <w:vAlign w:val="center"/>
          </w:tcPr>
          <w:p w:rsidR="00FE6C7D" w:rsidRPr="00C2601B" w:rsidRDefault="00FE6C7D" w:rsidP="00F90A64">
            <w:pPr>
              <w:keepNext/>
              <w:jc w:val="center"/>
              <w:rPr>
                <w:rFonts w:eastAsia="Times New Roman" w:cs="Times New Roman"/>
                <w:iCs/>
                <w:sz w:val="18"/>
                <w:szCs w:val="18"/>
                <w:vertAlign w:val="baseline"/>
                <w:lang w:eastAsia="en-US"/>
              </w:rPr>
            </w:pPr>
            <w:r w:rsidRPr="00C2601B">
              <w:rPr>
                <w:rFonts w:eastAsia="Times New Roman" w:cs="Times New Roman"/>
                <w:iCs/>
                <w:sz w:val="18"/>
                <w:szCs w:val="18"/>
                <w:vertAlign w:val="baseline"/>
                <w:lang w:eastAsia="en-US"/>
              </w:rPr>
              <w:t>vol de/dans/sur voiture</w:t>
            </w:r>
          </w:p>
        </w:tc>
        <w:tc>
          <w:tcPr>
            <w:tcW w:w="796" w:type="dxa"/>
            <w:tcBorders>
              <w:bottom w:val="doub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vol de voiture</w:t>
            </w:r>
          </w:p>
        </w:tc>
        <w:tc>
          <w:tcPr>
            <w:tcW w:w="847" w:type="dxa"/>
            <w:tcBorders>
              <w:bottom w:val="doub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vol dans/sur voiture</w:t>
            </w:r>
          </w:p>
        </w:tc>
        <w:tc>
          <w:tcPr>
            <w:tcW w:w="1036" w:type="dxa"/>
            <w:tcBorders>
              <w:bottom w:val="doub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dégradation de véhicule</w:t>
            </w:r>
          </w:p>
        </w:tc>
        <w:tc>
          <w:tcPr>
            <w:tcW w:w="961" w:type="dxa"/>
            <w:tcBorders>
              <w:bottom w:val="doub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débit frauduleux</w:t>
            </w:r>
          </w:p>
        </w:tc>
        <w:tc>
          <w:tcPr>
            <w:tcW w:w="901" w:type="dxa"/>
            <w:tcBorders>
              <w:bottom w:val="doub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vol personnel</w:t>
            </w:r>
          </w:p>
        </w:tc>
        <w:tc>
          <w:tcPr>
            <w:tcW w:w="844" w:type="dxa"/>
            <w:tcBorders>
              <w:bottom w:val="doub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violence physique</w:t>
            </w:r>
          </w:p>
        </w:tc>
        <w:tc>
          <w:tcPr>
            <w:tcW w:w="844" w:type="dxa"/>
            <w:tcBorders>
              <w:bottom w:val="doub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violence non physique</w:t>
            </w:r>
          </w:p>
        </w:tc>
      </w:tr>
      <w:tr w:rsidR="00FE6C7D" w:rsidRPr="00C2601B" w:rsidTr="00F90A64">
        <w:trPr>
          <w:jc w:val="center"/>
        </w:trPr>
        <w:tc>
          <w:tcPr>
            <w:tcW w:w="1466" w:type="dxa"/>
            <w:tcBorders>
              <w:top w:val="double" w:sz="4" w:space="0" w:color="808080"/>
              <w:bottom w:val="doubleWave" w:sz="6" w:space="0" w:color="auto"/>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CESDIP 1984-85</w:t>
            </w:r>
          </w:p>
        </w:tc>
        <w:tc>
          <w:tcPr>
            <w:tcW w:w="1058" w:type="dxa"/>
            <w:tcBorders>
              <w:top w:val="double" w:sz="4" w:space="0" w:color="808080"/>
              <w:bottom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75,2</w:t>
            </w:r>
          </w:p>
        </w:tc>
        <w:tc>
          <w:tcPr>
            <w:tcW w:w="1096" w:type="dxa"/>
            <w:tcBorders>
              <w:top w:val="double" w:sz="4" w:space="0" w:color="808080"/>
              <w:bottom w:val="doubleWave" w:sz="6" w:space="0" w:color="auto"/>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iCs/>
                <w:sz w:val="18"/>
                <w:szCs w:val="18"/>
                <w:vertAlign w:val="baseline"/>
                <w:lang w:eastAsia="en-US"/>
              </w:rPr>
              <w:t>80,2</w:t>
            </w:r>
          </w:p>
        </w:tc>
        <w:tc>
          <w:tcPr>
            <w:tcW w:w="796" w:type="dxa"/>
            <w:tcBorders>
              <w:top w:val="double" w:sz="4" w:space="0" w:color="808080"/>
              <w:bottom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tcBorders>
              <w:top w:val="double" w:sz="4" w:space="0" w:color="808080"/>
              <w:bottom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tcBorders>
              <w:top w:val="double" w:sz="4" w:space="0" w:color="808080"/>
              <w:bottom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Borders>
              <w:top w:val="double" w:sz="4" w:space="0" w:color="808080"/>
              <w:bottom w:val="doubleWave" w:sz="6" w:space="0" w:color="auto"/>
            </w:tcBorders>
          </w:tcPr>
          <w:p w:rsidR="00FE6C7D" w:rsidRPr="00C2601B" w:rsidRDefault="00FE6C7D" w:rsidP="00F90A64">
            <w:pPr>
              <w:jc w:val="center"/>
              <w:rPr>
                <w:rFonts w:eastAsia="Times New Roman" w:cs="Times New Roman"/>
                <w:sz w:val="18"/>
                <w:szCs w:val="18"/>
                <w:vertAlign w:val="baseline"/>
                <w:lang w:eastAsia="en-US"/>
              </w:rPr>
            </w:pPr>
          </w:p>
        </w:tc>
        <w:tc>
          <w:tcPr>
            <w:tcW w:w="901" w:type="dxa"/>
            <w:tcBorders>
              <w:top w:val="double" w:sz="4" w:space="0" w:color="808080"/>
              <w:bottom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67,6</w:t>
            </w:r>
          </w:p>
        </w:tc>
        <w:tc>
          <w:tcPr>
            <w:tcW w:w="844" w:type="dxa"/>
            <w:tcBorders>
              <w:top w:val="double" w:sz="4" w:space="0" w:color="808080"/>
              <w:bottom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54,4</w:t>
            </w:r>
          </w:p>
        </w:tc>
        <w:tc>
          <w:tcPr>
            <w:tcW w:w="844" w:type="dxa"/>
            <w:tcBorders>
              <w:top w:val="double" w:sz="4" w:space="0" w:color="808080"/>
              <w:bottom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31,5</w:t>
            </w:r>
          </w:p>
        </w:tc>
      </w:tr>
      <w:tr w:rsidR="00FE6C7D" w:rsidRPr="00C2601B" w:rsidTr="00F90A64">
        <w:trPr>
          <w:jc w:val="center"/>
        </w:trPr>
        <w:tc>
          <w:tcPr>
            <w:tcW w:w="1466" w:type="dxa"/>
            <w:tcBorders>
              <w:top w:val="doubleWave" w:sz="6" w:space="0" w:color="auto"/>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1994-95</w:t>
            </w:r>
          </w:p>
        </w:tc>
        <w:tc>
          <w:tcPr>
            <w:tcW w:w="1058" w:type="dxa"/>
            <w:tcBorders>
              <w:top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81,9</w:t>
            </w:r>
          </w:p>
        </w:tc>
        <w:tc>
          <w:tcPr>
            <w:tcW w:w="1096" w:type="dxa"/>
            <w:tcBorders>
              <w:top w:val="doubleWave" w:sz="6" w:space="0" w:color="auto"/>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67,5</w:t>
            </w:r>
          </w:p>
        </w:tc>
        <w:tc>
          <w:tcPr>
            <w:tcW w:w="796" w:type="dxa"/>
            <w:tcBorders>
              <w:top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tcBorders>
              <w:top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tcBorders>
              <w:top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Borders>
              <w:top w:val="doubleWave" w:sz="6" w:space="0" w:color="auto"/>
            </w:tcBorders>
          </w:tcPr>
          <w:p w:rsidR="00FE6C7D" w:rsidRPr="00C2601B" w:rsidRDefault="00FE6C7D" w:rsidP="00F90A64">
            <w:pPr>
              <w:jc w:val="center"/>
              <w:rPr>
                <w:rFonts w:eastAsia="Times New Roman" w:cs="Times New Roman"/>
                <w:sz w:val="18"/>
                <w:szCs w:val="18"/>
                <w:vertAlign w:val="baseline"/>
                <w:lang w:eastAsia="en-US"/>
              </w:rPr>
            </w:pPr>
          </w:p>
        </w:tc>
        <w:tc>
          <w:tcPr>
            <w:tcW w:w="901" w:type="dxa"/>
            <w:tcBorders>
              <w:top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54,6</w:t>
            </w:r>
          </w:p>
        </w:tc>
        <w:tc>
          <w:tcPr>
            <w:tcW w:w="844" w:type="dxa"/>
            <w:tcBorders>
              <w:top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38,2</w:t>
            </w:r>
          </w:p>
        </w:tc>
        <w:tc>
          <w:tcPr>
            <w:tcW w:w="844" w:type="dxa"/>
            <w:tcBorders>
              <w:top w:val="doubleWave" w:sz="6"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28,0</w:t>
            </w:r>
          </w:p>
        </w:tc>
      </w:tr>
      <w:tr w:rsidR="00FE6C7D" w:rsidRPr="00C2601B" w:rsidTr="00F90A64">
        <w:trPr>
          <w:jc w:val="center"/>
        </w:trPr>
        <w:tc>
          <w:tcPr>
            <w:tcW w:w="1466" w:type="dxa"/>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1995-96</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78,8</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65,3</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53,4</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30,6</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32,3</w:t>
            </w:r>
          </w:p>
        </w:tc>
      </w:tr>
      <w:tr w:rsidR="00FE6C7D" w:rsidRPr="00C2601B" w:rsidTr="00F90A64">
        <w:trPr>
          <w:jc w:val="center"/>
        </w:trPr>
        <w:tc>
          <w:tcPr>
            <w:tcW w:w="1466" w:type="dxa"/>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1996-97</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73,0</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66,4</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53,3</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25,5</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27,1</w:t>
            </w:r>
          </w:p>
        </w:tc>
      </w:tr>
      <w:tr w:rsidR="00FE6C7D" w:rsidRPr="00C2601B" w:rsidTr="00F90A64">
        <w:trPr>
          <w:jc w:val="center"/>
        </w:trPr>
        <w:tc>
          <w:tcPr>
            <w:tcW w:w="1466" w:type="dxa"/>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1997-98</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77,1</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64,4</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42,8</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41,9</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22,0</w:t>
            </w:r>
          </w:p>
        </w:tc>
      </w:tr>
      <w:tr w:rsidR="00FE6C7D" w:rsidRPr="00C2601B" w:rsidTr="00F90A64">
        <w:trPr>
          <w:jc w:val="center"/>
        </w:trPr>
        <w:tc>
          <w:tcPr>
            <w:tcW w:w="1466" w:type="dxa"/>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1998-99</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75,8</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62,5</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48,9</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46,7</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14,8</w:t>
            </w:r>
          </w:p>
        </w:tc>
      </w:tr>
      <w:tr w:rsidR="00FE6C7D" w:rsidRPr="00C2601B" w:rsidTr="00F90A64">
        <w:trPr>
          <w:jc w:val="center"/>
        </w:trPr>
        <w:tc>
          <w:tcPr>
            <w:tcW w:w="1466" w:type="dxa"/>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1999-00</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79,8</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63,6</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53,1</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45,6</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17,1</w:t>
            </w:r>
          </w:p>
        </w:tc>
      </w:tr>
      <w:tr w:rsidR="00FE6C7D" w:rsidRPr="00C2601B" w:rsidTr="00F90A64">
        <w:trPr>
          <w:jc w:val="center"/>
        </w:trPr>
        <w:tc>
          <w:tcPr>
            <w:tcW w:w="1466" w:type="dxa"/>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2000-01</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73,8</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66,2</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55,0</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42,8</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17,3</w:t>
            </w:r>
          </w:p>
        </w:tc>
      </w:tr>
      <w:tr w:rsidR="00FE6C7D" w:rsidRPr="00C2601B" w:rsidTr="00F90A64">
        <w:trPr>
          <w:jc w:val="center"/>
        </w:trPr>
        <w:tc>
          <w:tcPr>
            <w:tcW w:w="1466" w:type="dxa"/>
            <w:tcBorders>
              <w:bottom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 xml:space="preserve">EPCV 2001-02 </w:t>
            </w:r>
          </w:p>
        </w:tc>
        <w:tc>
          <w:tcPr>
            <w:tcW w:w="1058"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75,6</w:t>
            </w:r>
          </w:p>
        </w:tc>
        <w:tc>
          <w:tcPr>
            <w:tcW w:w="1096" w:type="dxa"/>
            <w:tcBorders>
              <w:bottom w:val="single" w:sz="4" w:space="0" w:color="808080"/>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62,2</w:t>
            </w:r>
          </w:p>
        </w:tc>
        <w:tc>
          <w:tcPr>
            <w:tcW w:w="79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Borders>
              <w:bottom w:val="single" w:sz="4" w:space="0" w:color="808080"/>
            </w:tcBorders>
          </w:tcPr>
          <w:p w:rsidR="00FE6C7D" w:rsidRPr="00C2601B" w:rsidRDefault="00FE6C7D" w:rsidP="00F90A64">
            <w:pPr>
              <w:jc w:val="center"/>
              <w:rPr>
                <w:rFonts w:eastAsia="Times New Roman" w:cs="Times New Roman"/>
                <w:sz w:val="18"/>
                <w:szCs w:val="18"/>
                <w:vertAlign w:val="baseline"/>
                <w:lang w:eastAsia="en-US"/>
              </w:rPr>
            </w:pPr>
          </w:p>
        </w:tc>
        <w:tc>
          <w:tcPr>
            <w:tcW w:w="901"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54,9</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49,5</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18,8</w:t>
            </w:r>
          </w:p>
        </w:tc>
      </w:tr>
      <w:tr w:rsidR="00FE6C7D" w:rsidRPr="00C2601B" w:rsidTr="00F90A64">
        <w:trPr>
          <w:jc w:val="center"/>
        </w:trPr>
        <w:tc>
          <w:tcPr>
            <w:tcW w:w="1466" w:type="dxa"/>
            <w:tcBorders>
              <w:bottom w:val="single" w:sz="12"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2002-03</w:t>
            </w:r>
          </w:p>
        </w:tc>
        <w:tc>
          <w:tcPr>
            <w:tcW w:w="1058" w:type="dxa"/>
            <w:tcBorders>
              <w:bottom w:val="single" w:sz="12"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80,4</w:t>
            </w:r>
          </w:p>
        </w:tc>
        <w:tc>
          <w:tcPr>
            <w:tcW w:w="1096" w:type="dxa"/>
            <w:tcBorders>
              <w:bottom w:val="single" w:sz="12" w:space="0" w:color="808080"/>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65,3</w:t>
            </w:r>
          </w:p>
        </w:tc>
        <w:tc>
          <w:tcPr>
            <w:tcW w:w="796" w:type="dxa"/>
            <w:tcBorders>
              <w:bottom w:val="single" w:sz="12"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847" w:type="dxa"/>
            <w:tcBorders>
              <w:bottom w:val="single" w:sz="12"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1036" w:type="dxa"/>
            <w:tcBorders>
              <w:bottom w:val="single" w:sz="12"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Borders>
              <w:bottom w:val="single" w:sz="12" w:space="0" w:color="808080"/>
            </w:tcBorders>
          </w:tcPr>
          <w:p w:rsidR="00FE6C7D" w:rsidRPr="00C2601B" w:rsidRDefault="00FE6C7D" w:rsidP="00F90A64">
            <w:pPr>
              <w:jc w:val="center"/>
              <w:rPr>
                <w:rFonts w:eastAsia="Times New Roman" w:cs="Times New Roman"/>
                <w:sz w:val="18"/>
                <w:szCs w:val="18"/>
                <w:vertAlign w:val="baseline"/>
                <w:lang w:eastAsia="en-US"/>
              </w:rPr>
            </w:pPr>
          </w:p>
        </w:tc>
        <w:tc>
          <w:tcPr>
            <w:tcW w:w="901" w:type="dxa"/>
            <w:tcBorders>
              <w:bottom w:val="single" w:sz="12"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56,2</w:t>
            </w:r>
          </w:p>
        </w:tc>
        <w:tc>
          <w:tcPr>
            <w:tcW w:w="844" w:type="dxa"/>
            <w:tcBorders>
              <w:bottom w:val="single" w:sz="12"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44,8</w:t>
            </w:r>
          </w:p>
        </w:tc>
        <w:tc>
          <w:tcPr>
            <w:tcW w:w="844" w:type="dxa"/>
            <w:tcBorders>
              <w:bottom w:val="single" w:sz="12"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19,2</w:t>
            </w:r>
          </w:p>
        </w:tc>
      </w:tr>
      <w:tr w:rsidR="00FE6C7D" w:rsidRPr="00C2601B" w:rsidTr="00F90A64">
        <w:trPr>
          <w:jc w:val="center"/>
        </w:trPr>
        <w:tc>
          <w:tcPr>
            <w:tcW w:w="1466" w:type="dxa"/>
            <w:tcBorders>
              <w:top w:val="single" w:sz="12" w:space="0" w:color="808080"/>
              <w:bottom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2003-04</w:t>
            </w:r>
          </w:p>
        </w:tc>
        <w:tc>
          <w:tcPr>
            <w:tcW w:w="1058" w:type="dxa"/>
            <w:tcBorders>
              <w:top w:val="single" w:sz="12"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84,1</w:t>
            </w:r>
          </w:p>
        </w:tc>
        <w:tc>
          <w:tcPr>
            <w:tcW w:w="1096" w:type="dxa"/>
            <w:tcBorders>
              <w:top w:val="single" w:sz="12" w:space="0" w:color="808080"/>
              <w:bottom w:val="single" w:sz="4" w:space="0" w:color="808080"/>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59,3</w:t>
            </w:r>
          </w:p>
        </w:tc>
        <w:tc>
          <w:tcPr>
            <w:tcW w:w="796" w:type="dxa"/>
            <w:tcBorders>
              <w:top w:val="single" w:sz="12"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91,1</w:t>
            </w:r>
          </w:p>
        </w:tc>
        <w:tc>
          <w:tcPr>
            <w:tcW w:w="847" w:type="dxa"/>
            <w:tcBorders>
              <w:top w:val="single" w:sz="12"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51,6</w:t>
            </w:r>
          </w:p>
        </w:tc>
        <w:tc>
          <w:tcPr>
            <w:tcW w:w="1036" w:type="dxa"/>
            <w:tcBorders>
              <w:top w:val="single" w:sz="12"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Borders>
              <w:top w:val="single" w:sz="12" w:space="0" w:color="808080"/>
              <w:bottom w:val="single" w:sz="4" w:space="0" w:color="808080"/>
            </w:tcBorders>
          </w:tcPr>
          <w:p w:rsidR="00FE6C7D" w:rsidRPr="00C2601B" w:rsidRDefault="00FE6C7D" w:rsidP="00F90A64">
            <w:pPr>
              <w:jc w:val="center"/>
              <w:rPr>
                <w:rFonts w:eastAsia="Times New Roman" w:cs="Times New Roman"/>
                <w:sz w:val="18"/>
                <w:szCs w:val="18"/>
                <w:vertAlign w:val="baseline"/>
                <w:lang w:eastAsia="en-US"/>
              </w:rPr>
            </w:pPr>
          </w:p>
        </w:tc>
        <w:tc>
          <w:tcPr>
            <w:tcW w:w="901" w:type="dxa"/>
            <w:tcBorders>
              <w:top w:val="single" w:sz="12"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58,7</w:t>
            </w:r>
          </w:p>
        </w:tc>
        <w:tc>
          <w:tcPr>
            <w:tcW w:w="844" w:type="dxa"/>
            <w:tcBorders>
              <w:top w:val="single" w:sz="12"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51,6</w:t>
            </w:r>
          </w:p>
        </w:tc>
        <w:tc>
          <w:tcPr>
            <w:tcW w:w="844" w:type="dxa"/>
            <w:tcBorders>
              <w:top w:val="single" w:sz="12"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25,9</w:t>
            </w:r>
          </w:p>
        </w:tc>
      </w:tr>
      <w:tr w:rsidR="00FE6C7D" w:rsidRPr="00C2601B" w:rsidTr="00F90A64">
        <w:trPr>
          <w:jc w:val="center"/>
        </w:trPr>
        <w:tc>
          <w:tcPr>
            <w:tcW w:w="1466" w:type="dxa"/>
            <w:tcBorders>
              <w:bottom w:val="thinThickMediumGap" w:sz="12" w:space="0" w:color="auto"/>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EPCV 2004-05</w:t>
            </w:r>
          </w:p>
        </w:tc>
        <w:tc>
          <w:tcPr>
            <w:tcW w:w="1058" w:type="dxa"/>
            <w:tcBorders>
              <w:bottom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82,3</w:t>
            </w:r>
          </w:p>
        </w:tc>
        <w:tc>
          <w:tcPr>
            <w:tcW w:w="1096" w:type="dxa"/>
            <w:tcBorders>
              <w:bottom w:val="thinThickMediumGap" w:sz="12" w:space="0" w:color="auto"/>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58,1</w:t>
            </w:r>
          </w:p>
        </w:tc>
        <w:tc>
          <w:tcPr>
            <w:tcW w:w="796" w:type="dxa"/>
            <w:tcBorders>
              <w:bottom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66,2</w:t>
            </w:r>
          </w:p>
        </w:tc>
        <w:tc>
          <w:tcPr>
            <w:tcW w:w="847" w:type="dxa"/>
            <w:tcBorders>
              <w:bottom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52,3</w:t>
            </w:r>
          </w:p>
        </w:tc>
        <w:tc>
          <w:tcPr>
            <w:tcW w:w="1036" w:type="dxa"/>
            <w:tcBorders>
              <w:bottom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p>
        </w:tc>
        <w:tc>
          <w:tcPr>
            <w:tcW w:w="961" w:type="dxa"/>
            <w:tcBorders>
              <w:bottom w:val="thinThickMediumGap" w:sz="12" w:space="0" w:color="auto"/>
            </w:tcBorders>
          </w:tcPr>
          <w:p w:rsidR="00FE6C7D" w:rsidRPr="00C2601B" w:rsidRDefault="00FE6C7D" w:rsidP="00F90A64">
            <w:pPr>
              <w:jc w:val="center"/>
              <w:rPr>
                <w:rFonts w:eastAsia="Times New Roman" w:cs="Times New Roman"/>
                <w:sz w:val="18"/>
                <w:szCs w:val="18"/>
                <w:vertAlign w:val="baseline"/>
                <w:lang w:eastAsia="en-US"/>
              </w:rPr>
            </w:pPr>
          </w:p>
        </w:tc>
        <w:tc>
          <w:tcPr>
            <w:tcW w:w="901" w:type="dxa"/>
            <w:tcBorders>
              <w:bottom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58,8</w:t>
            </w:r>
          </w:p>
        </w:tc>
        <w:tc>
          <w:tcPr>
            <w:tcW w:w="844" w:type="dxa"/>
            <w:tcBorders>
              <w:bottom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50,2</w:t>
            </w:r>
          </w:p>
        </w:tc>
        <w:tc>
          <w:tcPr>
            <w:tcW w:w="844" w:type="dxa"/>
            <w:tcBorders>
              <w:bottom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17,6</w:t>
            </w:r>
          </w:p>
        </w:tc>
      </w:tr>
      <w:tr w:rsidR="00FE6C7D" w:rsidRPr="00C2601B" w:rsidTr="00F90A64">
        <w:trPr>
          <w:jc w:val="center"/>
        </w:trPr>
        <w:tc>
          <w:tcPr>
            <w:tcW w:w="1466" w:type="dxa"/>
            <w:tcBorders>
              <w:top w:val="thinThickMediumGap" w:sz="12" w:space="0" w:color="auto"/>
              <w:bottom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2005-06</w:t>
            </w:r>
          </w:p>
        </w:tc>
        <w:tc>
          <w:tcPr>
            <w:tcW w:w="1058" w:type="dxa"/>
            <w:tcBorders>
              <w:top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69,4</w:t>
            </w:r>
          </w:p>
        </w:tc>
        <w:tc>
          <w:tcPr>
            <w:tcW w:w="1096" w:type="dxa"/>
            <w:tcBorders>
              <w:top w:val="thinThickMediumGap" w:sz="12" w:space="0" w:color="auto"/>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52,8</w:t>
            </w:r>
          </w:p>
        </w:tc>
        <w:tc>
          <w:tcPr>
            <w:tcW w:w="796" w:type="dxa"/>
            <w:tcBorders>
              <w:top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60,7</w:t>
            </w:r>
          </w:p>
        </w:tc>
        <w:tc>
          <w:tcPr>
            <w:tcW w:w="847" w:type="dxa"/>
            <w:tcBorders>
              <w:top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47,9</w:t>
            </w:r>
          </w:p>
        </w:tc>
        <w:tc>
          <w:tcPr>
            <w:tcW w:w="1036" w:type="dxa"/>
            <w:tcBorders>
              <w:top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33,1</w:t>
            </w:r>
          </w:p>
        </w:tc>
        <w:tc>
          <w:tcPr>
            <w:tcW w:w="961" w:type="dxa"/>
            <w:tcBorders>
              <w:top w:val="thinThickMediumGap" w:sz="12" w:space="0" w:color="auto"/>
            </w:tcBorders>
          </w:tcPr>
          <w:p w:rsidR="00FE6C7D" w:rsidRPr="00C2601B" w:rsidRDefault="00FE6C7D" w:rsidP="00F90A64">
            <w:pPr>
              <w:jc w:val="center"/>
              <w:rPr>
                <w:rFonts w:eastAsia="Times New Roman" w:cs="Times New Roman"/>
                <w:sz w:val="18"/>
                <w:szCs w:val="18"/>
                <w:vertAlign w:val="baseline"/>
                <w:lang w:eastAsia="en-US"/>
              </w:rPr>
            </w:pPr>
          </w:p>
        </w:tc>
        <w:tc>
          <w:tcPr>
            <w:tcW w:w="901" w:type="dxa"/>
            <w:tcBorders>
              <w:top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48,9</w:t>
            </w:r>
          </w:p>
        </w:tc>
        <w:tc>
          <w:tcPr>
            <w:tcW w:w="844" w:type="dxa"/>
            <w:tcBorders>
              <w:top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40,8</w:t>
            </w:r>
          </w:p>
        </w:tc>
        <w:tc>
          <w:tcPr>
            <w:tcW w:w="844" w:type="dxa"/>
            <w:tcBorders>
              <w:top w:val="thinThickMediumGap" w:sz="12"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12,5</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 xml:space="preserve">CVS 2006-07 </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66,1</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51,4</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61,6</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46,0</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30,4</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48,6</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41,8</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13,9</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2007-08</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64,3</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47,7</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60,8</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41,7</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28,4</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47,0</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34,2</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13,7</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2008-09</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67,2</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48,1</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58,8</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44,5</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28,5</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42,5</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44,0</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13,5</w:t>
            </w:r>
          </w:p>
        </w:tc>
      </w:tr>
      <w:tr w:rsidR="00FE6C7D" w:rsidRPr="00C2601B" w:rsidTr="00F90A64">
        <w:trPr>
          <w:jc w:val="center"/>
        </w:trPr>
        <w:tc>
          <w:tcPr>
            <w:tcW w:w="1466" w:type="dxa"/>
            <w:tcBorders>
              <w:left w:val="single" w:sz="4" w:space="0" w:color="808080"/>
              <w:bottom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2009-10</w:t>
            </w:r>
          </w:p>
        </w:tc>
        <w:tc>
          <w:tcPr>
            <w:tcW w:w="1058"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68,9</w:t>
            </w:r>
          </w:p>
        </w:tc>
        <w:tc>
          <w:tcPr>
            <w:tcW w:w="1096" w:type="dxa"/>
            <w:tcBorders>
              <w:bottom w:val="single" w:sz="4" w:space="0" w:color="808080"/>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50,1</w:t>
            </w:r>
          </w:p>
        </w:tc>
        <w:tc>
          <w:tcPr>
            <w:tcW w:w="79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62,4</w:t>
            </w:r>
          </w:p>
        </w:tc>
        <w:tc>
          <w:tcPr>
            <w:tcW w:w="847"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45,3</w:t>
            </w:r>
          </w:p>
        </w:tc>
        <w:tc>
          <w:tcPr>
            <w:tcW w:w="103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26,1</w:t>
            </w:r>
          </w:p>
        </w:tc>
        <w:tc>
          <w:tcPr>
            <w:tcW w:w="961" w:type="dxa"/>
            <w:tcBorders>
              <w:bottom w:val="single" w:sz="4" w:space="0" w:color="808080"/>
            </w:tcBorders>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55,2</w:t>
            </w:r>
          </w:p>
        </w:tc>
        <w:tc>
          <w:tcPr>
            <w:tcW w:w="901"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42,6</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40,8</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12,8</w:t>
            </w:r>
          </w:p>
        </w:tc>
      </w:tr>
      <w:tr w:rsidR="00FE6C7D" w:rsidRPr="00C2601B" w:rsidTr="00F90A64">
        <w:trPr>
          <w:jc w:val="center"/>
        </w:trPr>
        <w:tc>
          <w:tcPr>
            <w:tcW w:w="1466" w:type="dxa"/>
            <w:tcBorders>
              <w:left w:val="single" w:sz="4" w:space="0" w:color="808080"/>
              <w:bottom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2010-11</w:t>
            </w:r>
          </w:p>
        </w:tc>
        <w:tc>
          <w:tcPr>
            <w:tcW w:w="1058"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65,6</w:t>
            </w:r>
          </w:p>
        </w:tc>
        <w:tc>
          <w:tcPr>
            <w:tcW w:w="1096" w:type="dxa"/>
            <w:tcBorders>
              <w:bottom w:val="single" w:sz="4" w:space="0" w:color="808080"/>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iCs/>
                <w:sz w:val="18"/>
                <w:szCs w:val="18"/>
                <w:vertAlign w:val="baseline"/>
                <w:lang w:eastAsia="en-US"/>
              </w:rPr>
              <w:t>48,2</w:t>
            </w:r>
          </w:p>
        </w:tc>
        <w:tc>
          <w:tcPr>
            <w:tcW w:w="79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64,6</w:t>
            </w:r>
          </w:p>
        </w:tc>
        <w:tc>
          <w:tcPr>
            <w:tcW w:w="847"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42,8</w:t>
            </w:r>
          </w:p>
        </w:tc>
        <w:tc>
          <w:tcPr>
            <w:tcW w:w="103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28,2</w:t>
            </w:r>
          </w:p>
        </w:tc>
        <w:tc>
          <w:tcPr>
            <w:tcW w:w="961" w:type="dxa"/>
            <w:tcBorders>
              <w:bottom w:val="single" w:sz="4" w:space="0" w:color="808080"/>
            </w:tcBorders>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54,5</w:t>
            </w:r>
          </w:p>
        </w:tc>
        <w:tc>
          <w:tcPr>
            <w:tcW w:w="901"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46,2</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43,6</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13,0</w:t>
            </w:r>
          </w:p>
        </w:tc>
      </w:tr>
      <w:tr w:rsidR="00FE6C7D" w:rsidRPr="00C2601B" w:rsidTr="00F90A64">
        <w:trPr>
          <w:jc w:val="center"/>
        </w:trPr>
        <w:tc>
          <w:tcPr>
            <w:tcW w:w="1466" w:type="dxa"/>
            <w:tcBorders>
              <w:left w:val="single" w:sz="4" w:space="0" w:color="808080"/>
              <w:bottom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2011-12</w:t>
            </w:r>
          </w:p>
        </w:tc>
        <w:tc>
          <w:tcPr>
            <w:tcW w:w="1058"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67,7</w:t>
            </w:r>
          </w:p>
        </w:tc>
        <w:tc>
          <w:tcPr>
            <w:tcW w:w="109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50,6</w:t>
            </w:r>
          </w:p>
        </w:tc>
        <w:tc>
          <w:tcPr>
            <w:tcW w:w="79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65,0</w:t>
            </w:r>
          </w:p>
        </w:tc>
        <w:tc>
          <w:tcPr>
            <w:tcW w:w="847"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45,6</w:t>
            </w:r>
          </w:p>
        </w:tc>
        <w:tc>
          <w:tcPr>
            <w:tcW w:w="103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30,7</w:t>
            </w:r>
          </w:p>
        </w:tc>
        <w:tc>
          <w:tcPr>
            <w:tcW w:w="961" w:type="dxa"/>
            <w:tcBorders>
              <w:bottom w:val="single" w:sz="4" w:space="0" w:color="808080"/>
            </w:tcBorders>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54,6</w:t>
            </w:r>
          </w:p>
        </w:tc>
        <w:tc>
          <w:tcPr>
            <w:tcW w:w="901"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42,9</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48,5</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13,0</w:t>
            </w:r>
          </w:p>
        </w:tc>
      </w:tr>
      <w:tr w:rsidR="00FE6C7D" w:rsidRPr="00C2601B" w:rsidTr="00F90A64">
        <w:trPr>
          <w:jc w:val="center"/>
        </w:trPr>
        <w:tc>
          <w:tcPr>
            <w:tcW w:w="1466" w:type="dxa"/>
            <w:tcBorders>
              <w:left w:val="single" w:sz="4" w:space="0" w:color="808080"/>
              <w:bottom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2012-13</w:t>
            </w:r>
          </w:p>
        </w:tc>
        <w:tc>
          <w:tcPr>
            <w:tcW w:w="1058"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68,7</w:t>
            </w:r>
          </w:p>
        </w:tc>
        <w:tc>
          <w:tcPr>
            <w:tcW w:w="109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47,0</w:t>
            </w:r>
          </w:p>
        </w:tc>
        <w:tc>
          <w:tcPr>
            <w:tcW w:w="79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60,0</w:t>
            </w:r>
          </w:p>
        </w:tc>
        <w:tc>
          <w:tcPr>
            <w:tcW w:w="847"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41,9</w:t>
            </w:r>
          </w:p>
        </w:tc>
        <w:tc>
          <w:tcPr>
            <w:tcW w:w="1036"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27,4</w:t>
            </w:r>
          </w:p>
        </w:tc>
        <w:tc>
          <w:tcPr>
            <w:tcW w:w="961" w:type="dxa"/>
            <w:tcBorders>
              <w:bottom w:val="single" w:sz="4" w:space="0" w:color="808080"/>
            </w:tcBorders>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48,7</w:t>
            </w:r>
          </w:p>
        </w:tc>
        <w:tc>
          <w:tcPr>
            <w:tcW w:w="901"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50,7</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43,2</w:t>
            </w:r>
          </w:p>
        </w:tc>
        <w:tc>
          <w:tcPr>
            <w:tcW w:w="844" w:type="dxa"/>
            <w:tcBorders>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13,2</w:t>
            </w:r>
          </w:p>
        </w:tc>
      </w:tr>
      <w:tr w:rsidR="00FE6C7D" w:rsidRPr="00C2601B" w:rsidTr="00F90A64">
        <w:trPr>
          <w:jc w:val="center"/>
        </w:trPr>
        <w:tc>
          <w:tcPr>
            <w:tcW w:w="1466" w:type="dxa"/>
            <w:tcBorders>
              <w:top w:val="single" w:sz="4" w:space="0" w:color="808080"/>
              <w:left w:val="single" w:sz="4" w:space="0" w:color="808080"/>
              <w:bottom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2013-14</w:t>
            </w:r>
          </w:p>
        </w:tc>
        <w:tc>
          <w:tcPr>
            <w:tcW w:w="1058"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61,5</w:t>
            </w:r>
          </w:p>
        </w:tc>
        <w:tc>
          <w:tcPr>
            <w:tcW w:w="1096"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47,9</w:t>
            </w:r>
          </w:p>
        </w:tc>
        <w:tc>
          <w:tcPr>
            <w:tcW w:w="796"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64,2</w:t>
            </w:r>
          </w:p>
        </w:tc>
        <w:tc>
          <w:tcPr>
            <w:tcW w:w="847"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41,8</w:t>
            </w:r>
          </w:p>
        </w:tc>
        <w:tc>
          <w:tcPr>
            <w:tcW w:w="1036"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24,1</w:t>
            </w:r>
          </w:p>
        </w:tc>
        <w:tc>
          <w:tcPr>
            <w:tcW w:w="961" w:type="dxa"/>
            <w:tcBorders>
              <w:top w:val="single" w:sz="4" w:space="0" w:color="808080"/>
              <w:bottom w:val="single" w:sz="4" w:space="0" w:color="808080"/>
            </w:tcBorders>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46,0</w:t>
            </w:r>
          </w:p>
        </w:tc>
        <w:tc>
          <w:tcPr>
            <w:tcW w:w="901"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45,1</w:t>
            </w:r>
          </w:p>
        </w:tc>
        <w:tc>
          <w:tcPr>
            <w:tcW w:w="844"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46,2</w:t>
            </w:r>
          </w:p>
        </w:tc>
        <w:tc>
          <w:tcPr>
            <w:tcW w:w="844"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13,9</w:t>
            </w:r>
          </w:p>
        </w:tc>
      </w:tr>
      <w:tr w:rsidR="00FE6C7D" w:rsidRPr="00C2601B" w:rsidTr="00F90A64">
        <w:trPr>
          <w:jc w:val="center"/>
        </w:trPr>
        <w:tc>
          <w:tcPr>
            <w:tcW w:w="1466" w:type="dxa"/>
            <w:tcBorders>
              <w:top w:val="single" w:sz="4" w:space="0" w:color="808080"/>
              <w:left w:val="single" w:sz="4" w:space="0" w:color="808080"/>
              <w:bottom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2014-15</w:t>
            </w:r>
          </w:p>
        </w:tc>
        <w:tc>
          <w:tcPr>
            <w:tcW w:w="1058"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60,1</w:t>
            </w:r>
          </w:p>
        </w:tc>
        <w:tc>
          <w:tcPr>
            <w:tcW w:w="1096"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46,7</w:t>
            </w:r>
          </w:p>
        </w:tc>
        <w:tc>
          <w:tcPr>
            <w:tcW w:w="796"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63,9</w:t>
            </w:r>
          </w:p>
        </w:tc>
        <w:tc>
          <w:tcPr>
            <w:tcW w:w="847"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41,5</w:t>
            </w:r>
          </w:p>
        </w:tc>
        <w:tc>
          <w:tcPr>
            <w:tcW w:w="1036"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25,3</w:t>
            </w:r>
          </w:p>
        </w:tc>
        <w:tc>
          <w:tcPr>
            <w:tcW w:w="961" w:type="dxa"/>
            <w:tcBorders>
              <w:top w:val="single" w:sz="4" w:space="0" w:color="808080"/>
              <w:bottom w:val="single" w:sz="4" w:space="0" w:color="808080"/>
            </w:tcBorders>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45,7</w:t>
            </w:r>
          </w:p>
        </w:tc>
        <w:tc>
          <w:tcPr>
            <w:tcW w:w="901"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46,0</w:t>
            </w:r>
          </w:p>
        </w:tc>
        <w:tc>
          <w:tcPr>
            <w:tcW w:w="844"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46,2</w:t>
            </w:r>
          </w:p>
        </w:tc>
        <w:tc>
          <w:tcPr>
            <w:tcW w:w="844" w:type="dxa"/>
            <w:tcBorders>
              <w:top w:val="single" w:sz="4" w:space="0" w:color="808080"/>
              <w:bottom w:val="single" w:sz="4" w:space="0" w:color="808080"/>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11,8</w:t>
            </w:r>
          </w:p>
        </w:tc>
      </w:tr>
      <w:tr w:rsidR="00FE6C7D" w:rsidRPr="00C2601B" w:rsidTr="00F90A64">
        <w:trPr>
          <w:jc w:val="center"/>
        </w:trPr>
        <w:tc>
          <w:tcPr>
            <w:tcW w:w="1466" w:type="dxa"/>
            <w:tcBorders>
              <w:top w:val="single" w:sz="4" w:space="0" w:color="808080"/>
              <w:left w:val="single" w:sz="4" w:space="0" w:color="808080"/>
              <w:bottom w:val="double" w:sz="4" w:space="0" w:color="auto"/>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CVS 2015-16</w:t>
            </w:r>
          </w:p>
        </w:tc>
        <w:tc>
          <w:tcPr>
            <w:tcW w:w="1058" w:type="dxa"/>
            <w:tcBorders>
              <w:top w:val="single" w:sz="4" w:space="0" w:color="808080"/>
              <w:bottom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59,7</w:t>
            </w:r>
          </w:p>
        </w:tc>
        <w:tc>
          <w:tcPr>
            <w:tcW w:w="1096" w:type="dxa"/>
            <w:tcBorders>
              <w:top w:val="single" w:sz="4" w:space="0" w:color="808080"/>
              <w:bottom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47,4</w:t>
            </w:r>
          </w:p>
        </w:tc>
        <w:tc>
          <w:tcPr>
            <w:tcW w:w="796" w:type="dxa"/>
            <w:tcBorders>
              <w:top w:val="single" w:sz="4" w:space="0" w:color="808080"/>
              <w:bottom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62,1</w:t>
            </w:r>
          </w:p>
        </w:tc>
        <w:tc>
          <w:tcPr>
            <w:tcW w:w="847" w:type="dxa"/>
            <w:tcBorders>
              <w:top w:val="single" w:sz="4" w:space="0" w:color="808080"/>
              <w:bottom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41,3</w:t>
            </w:r>
          </w:p>
        </w:tc>
        <w:tc>
          <w:tcPr>
            <w:tcW w:w="1036" w:type="dxa"/>
            <w:tcBorders>
              <w:top w:val="single" w:sz="4" w:space="0" w:color="808080"/>
              <w:bottom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26,6</w:t>
            </w:r>
          </w:p>
        </w:tc>
        <w:tc>
          <w:tcPr>
            <w:tcW w:w="961" w:type="dxa"/>
            <w:tcBorders>
              <w:top w:val="single" w:sz="4" w:space="0" w:color="808080"/>
              <w:bottom w:val="double" w:sz="4" w:space="0" w:color="auto"/>
            </w:tcBorders>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41,2</w:t>
            </w:r>
          </w:p>
        </w:tc>
        <w:tc>
          <w:tcPr>
            <w:tcW w:w="901" w:type="dxa"/>
            <w:tcBorders>
              <w:top w:val="single" w:sz="4" w:space="0" w:color="808080"/>
              <w:bottom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43,6</w:t>
            </w:r>
          </w:p>
        </w:tc>
        <w:tc>
          <w:tcPr>
            <w:tcW w:w="844" w:type="dxa"/>
            <w:tcBorders>
              <w:top w:val="single" w:sz="4" w:space="0" w:color="808080"/>
              <w:bottom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41,6</w:t>
            </w:r>
          </w:p>
        </w:tc>
        <w:tc>
          <w:tcPr>
            <w:tcW w:w="844" w:type="dxa"/>
            <w:tcBorders>
              <w:top w:val="single" w:sz="4" w:space="0" w:color="808080"/>
              <w:bottom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11,9</w:t>
            </w:r>
          </w:p>
        </w:tc>
      </w:tr>
      <w:tr w:rsidR="00FE6C7D" w:rsidRPr="00C2601B" w:rsidTr="00F90A64">
        <w:trPr>
          <w:jc w:val="center"/>
        </w:trPr>
        <w:tc>
          <w:tcPr>
            <w:tcW w:w="1466" w:type="dxa"/>
            <w:tcBorders>
              <w:top w:val="double" w:sz="4" w:space="0" w:color="auto"/>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ÎdeF</w:t>
            </w:r>
            <w:r w:rsidRPr="00C2601B">
              <w:rPr>
                <w:rFonts w:eastAsia="Times New Roman" w:cs="Times New Roman"/>
                <w:bCs/>
                <w:sz w:val="16"/>
                <w:szCs w:val="16"/>
                <w:vertAlign w:val="baseline"/>
                <w:lang w:eastAsia="en-US"/>
              </w:rPr>
              <w:t xml:space="preserve"> 1999-2000</w:t>
            </w:r>
          </w:p>
        </w:tc>
        <w:tc>
          <w:tcPr>
            <w:tcW w:w="1058" w:type="dxa"/>
            <w:tcBorders>
              <w:top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68,3</w:t>
            </w:r>
          </w:p>
        </w:tc>
        <w:tc>
          <w:tcPr>
            <w:tcW w:w="1096" w:type="dxa"/>
            <w:tcBorders>
              <w:top w:val="double" w:sz="4" w:space="0" w:color="auto"/>
            </w:tcBorders>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60,3</w:t>
            </w:r>
          </w:p>
        </w:tc>
        <w:tc>
          <w:tcPr>
            <w:tcW w:w="796" w:type="dxa"/>
            <w:tcBorders>
              <w:top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71,3</w:t>
            </w:r>
          </w:p>
        </w:tc>
        <w:tc>
          <w:tcPr>
            <w:tcW w:w="847" w:type="dxa"/>
            <w:tcBorders>
              <w:top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46,9</w:t>
            </w:r>
          </w:p>
        </w:tc>
        <w:tc>
          <w:tcPr>
            <w:tcW w:w="1036" w:type="dxa"/>
            <w:tcBorders>
              <w:top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31,6</w:t>
            </w:r>
          </w:p>
        </w:tc>
        <w:tc>
          <w:tcPr>
            <w:tcW w:w="961" w:type="dxa"/>
            <w:tcBorders>
              <w:top w:val="double" w:sz="4" w:space="0" w:color="auto"/>
            </w:tcBorders>
          </w:tcPr>
          <w:p w:rsidR="00FE6C7D" w:rsidRPr="00C2601B" w:rsidRDefault="00FE6C7D" w:rsidP="00F90A64">
            <w:pPr>
              <w:jc w:val="center"/>
              <w:rPr>
                <w:rFonts w:eastAsia="Times New Roman" w:cs="Times New Roman"/>
                <w:sz w:val="18"/>
                <w:szCs w:val="18"/>
                <w:vertAlign w:val="baseline"/>
                <w:lang w:eastAsia="en-US"/>
              </w:rPr>
            </w:pPr>
          </w:p>
        </w:tc>
        <w:tc>
          <w:tcPr>
            <w:tcW w:w="901" w:type="dxa"/>
            <w:tcBorders>
              <w:top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50,2</w:t>
            </w:r>
          </w:p>
        </w:tc>
        <w:tc>
          <w:tcPr>
            <w:tcW w:w="844" w:type="dxa"/>
            <w:tcBorders>
              <w:top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48,7</w:t>
            </w:r>
          </w:p>
        </w:tc>
        <w:tc>
          <w:tcPr>
            <w:tcW w:w="844" w:type="dxa"/>
            <w:tcBorders>
              <w:top w:val="double" w:sz="4" w:space="0" w:color="auto"/>
            </w:tcBorders>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39,0</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ÎdeF 2001-02</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72,8</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59,4</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70,6</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46,2</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29,9</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45,0</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53,1</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38,2</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ÎdeF 2003-04</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73,3</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58,0</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69,7</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45,4</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28,2</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50,0</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55,8</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41,1</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ÎdeF 2005-06</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73,1</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57,0</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69,3</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45,6</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30,8</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54,3</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59,2</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38,2</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ÎdeF 2007-08</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71,0</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60,5</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71,8</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49,6</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32,7</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54,2</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57,4</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44,1</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ÎdeF 2009-10</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72,1</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62,0</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76,6</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49,3</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34,0</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49,0</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64,3</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45,1</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ÎdeF 2011-12</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75,0</w:t>
            </w:r>
          </w:p>
        </w:tc>
        <w:tc>
          <w:tcPr>
            <w:tcW w:w="1096" w:type="dxa"/>
            <w:vAlign w:val="center"/>
          </w:tcPr>
          <w:p w:rsidR="00FE6C7D" w:rsidRPr="00C2601B" w:rsidRDefault="00FE6C7D" w:rsidP="00F90A64">
            <w:pPr>
              <w:jc w:val="center"/>
              <w:rPr>
                <w:rFonts w:eastAsia="Times New Roman" w:cs="Times New Roman"/>
                <w:iCs/>
                <w:sz w:val="18"/>
                <w:szCs w:val="18"/>
                <w:vertAlign w:val="baseline"/>
                <w:lang w:eastAsia="en-US"/>
              </w:rPr>
            </w:pPr>
            <w:r w:rsidRPr="00C2601B">
              <w:rPr>
                <w:rFonts w:eastAsia="Times New Roman" w:cs="Times New Roman"/>
                <w:sz w:val="18"/>
                <w:szCs w:val="18"/>
                <w:vertAlign w:val="baseline"/>
                <w:lang w:eastAsia="en-US"/>
              </w:rPr>
              <w:t>60,1</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78,4</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49,0</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30,3</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52,4</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63,5</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47,2</w:t>
            </w:r>
          </w:p>
        </w:tc>
      </w:tr>
      <w:tr w:rsidR="00FE6C7D" w:rsidRPr="00C2601B" w:rsidTr="00F90A64">
        <w:trPr>
          <w:jc w:val="center"/>
        </w:trPr>
        <w:tc>
          <w:tcPr>
            <w:tcW w:w="1466" w:type="dxa"/>
            <w:tcBorders>
              <w:left w:val="single" w:sz="4" w:space="0" w:color="808080"/>
            </w:tcBorders>
            <w:vAlign w:val="center"/>
          </w:tcPr>
          <w:p w:rsidR="00FE6C7D" w:rsidRPr="00C2601B" w:rsidRDefault="00FE6C7D" w:rsidP="00F90A64">
            <w:pPr>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ÎdeF 2013-14</w:t>
            </w:r>
          </w:p>
        </w:tc>
        <w:tc>
          <w:tcPr>
            <w:tcW w:w="1058"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72,9</w:t>
            </w:r>
          </w:p>
        </w:tc>
        <w:tc>
          <w:tcPr>
            <w:tcW w:w="10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57,9</w:t>
            </w:r>
          </w:p>
        </w:tc>
        <w:tc>
          <w:tcPr>
            <w:tcW w:w="79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71,2</w:t>
            </w:r>
          </w:p>
        </w:tc>
        <w:tc>
          <w:tcPr>
            <w:tcW w:w="847"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47,4</w:t>
            </w:r>
          </w:p>
        </w:tc>
        <w:tc>
          <w:tcPr>
            <w:tcW w:w="1036"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29,4</w:t>
            </w:r>
          </w:p>
        </w:tc>
        <w:tc>
          <w:tcPr>
            <w:tcW w:w="961" w:type="dxa"/>
          </w:tcPr>
          <w:p w:rsidR="00FE6C7D" w:rsidRPr="00C2601B" w:rsidRDefault="00FE6C7D" w:rsidP="00F90A64">
            <w:pPr>
              <w:jc w:val="center"/>
              <w:rPr>
                <w:rFonts w:eastAsia="Times New Roman" w:cs="Times New Roman"/>
                <w:sz w:val="18"/>
                <w:szCs w:val="18"/>
                <w:vertAlign w:val="baseline"/>
                <w:lang w:eastAsia="en-US"/>
              </w:rPr>
            </w:pPr>
          </w:p>
        </w:tc>
        <w:tc>
          <w:tcPr>
            <w:tcW w:w="901"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52,2</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53,8</w:t>
            </w:r>
          </w:p>
        </w:tc>
        <w:tc>
          <w:tcPr>
            <w:tcW w:w="844" w:type="dxa"/>
            <w:vAlign w:val="center"/>
          </w:tcPr>
          <w:p w:rsidR="00FE6C7D" w:rsidRPr="00C2601B" w:rsidRDefault="00FE6C7D" w:rsidP="00F90A64">
            <w:pPr>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46,9</w:t>
            </w:r>
          </w:p>
        </w:tc>
      </w:tr>
      <w:tr w:rsidR="00FE6C7D" w:rsidRPr="00C2601B" w:rsidTr="00F90A64">
        <w:trPr>
          <w:jc w:val="center"/>
        </w:trPr>
        <w:tc>
          <w:tcPr>
            <w:tcW w:w="1466" w:type="dxa"/>
            <w:tcBorders>
              <w:left w:val="single" w:sz="4" w:space="0" w:color="808080"/>
              <w:bottom w:val="single" w:sz="4" w:space="0" w:color="808080"/>
            </w:tcBorders>
            <w:vAlign w:val="center"/>
          </w:tcPr>
          <w:p w:rsidR="00FE6C7D" w:rsidRPr="00C2601B" w:rsidRDefault="00FE6C7D" w:rsidP="00F90A64">
            <w:pPr>
              <w:keepNext/>
              <w:rPr>
                <w:rFonts w:eastAsia="Times New Roman" w:cs="Times New Roman"/>
                <w:bCs/>
                <w:sz w:val="18"/>
                <w:szCs w:val="18"/>
                <w:vertAlign w:val="baseline"/>
                <w:lang w:eastAsia="en-US"/>
              </w:rPr>
            </w:pPr>
            <w:r w:rsidRPr="00C2601B">
              <w:rPr>
                <w:rFonts w:eastAsia="Times New Roman" w:cs="Times New Roman"/>
                <w:bCs/>
                <w:sz w:val="18"/>
                <w:szCs w:val="18"/>
                <w:vertAlign w:val="baseline"/>
                <w:lang w:eastAsia="en-US"/>
              </w:rPr>
              <w:t>ÎdeF 2015-16</w:t>
            </w:r>
          </w:p>
        </w:tc>
        <w:tc>
          <w:tcPr>
            <w:tcW w:w="1058" w:type="dxa"/>
            <w:tcBorders>
              <w:bottom w:val="sing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71,8</w:t>
            </w:r>
          </w:p>
        </w:tc>
        <w:tc>
          <w:tcPr>
            <w:tcW w:w="1096" w:type="dxa"/>
            <w:tcBorders>
              <w:bottom w:val="sing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57,5</w:t>
            </w:r>
          </w:p>
        </w:tc>
        <w:tc>
          <w:tcPr>
            <w:tcW w:w="796" w:type="dxa"/>
            <w:tcBorders>
              <w:bottom w:val="sing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68,3</w:t>
            </w:r>
          </w:p>
        </w:tc>
        <w:tc>
          <w:tcPr>
            <w:tcW w:w="847" w:type="dxa"/>
            <w:tcBorders>
              <w:bottom w:val="sing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46,7</w:t>
            </w:r>
          </w:p>
        </w:tc>
        <w:tc>
          <w:tcPr>
            <w:tcW w:w="1036" w:type="dxa"/>
            <w:tcBorders>
              <w:bottom w:val="sing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31,8</w:t>
            </w:r>
          </w:p>
        </w:tc>
        <w:tc>
          <w:tcPr>
            <w:tcW w:w="961" w:type="dxa"/>
            <w:tcBorders>
              <w:bottom w:val="single" w:sz="4" w:space="0" w:color="808080"/>
            </w:tcBorders>
          </w:tcPr>
          <w:p w:rsidR="00FE6C7D" w:rsidRPr="00C2601B" w:rsidRDefault="00FE6C7D" w:rsidP="00F90A64">
            <w:pPr>
              <w:keepNext/>
              <w:jc w:val="center"/>
              <w:rPr>
                <w:rFonts w:eastAsia="Times New Roman" w:cs="Times New Roman"/>
                <w:sz w:val="18"/>
                <w:szCs w:val="18"/>
                <w:vertAlign w:val="baseline"/>
                <w:lang w:eastAsia="en-US"/>
              </w:rPr>
            </w:pPr>
          </w:p>
        </w:tc>
        <w:tc>
          <w:tcPr>
            <w:tcW w:w="901" w:type="dxa"/>
            <w:tcBorders>
              <w:bottom w:val="sing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50,8</w:t>
            </w:r>
          </w:p>
        </w:tc>
        <w:tc>
          <w:tcPr>
            <w:tcW w:w="844" w:type="dxa"/>
            <w:tcBorders>
              <w:bottom w:val="sing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61,7</w:t>
            </w:r>
          </w:p>
        </w:tc>
        <w:tc>
          <w:tcPr>
            <w:tcW w:w="844" w:type="dxa"/>
            <w:tcBorders>
              <w:bottom w:val="single" w:sz="4" w:space="0" w:color="808080"/>
            </w:tcBorders>
            <w:vAlign w:val="center"/>
          </w:tcPr>
          <w:p w:rsidR="00FE6C7D" w:rsidRPr="00C2601B" w:rsidRDefault="00FE6C7D" w:rsidP="00F90A64">
            <w:pPr>
              <w:keepNext/>
              <w:jc w:val="center"/>
              <w:rPr>
                <w:rFonts w:eastAsia="Times New Roman" w:cs="Times New Roman"/>
                <w:sz w:val="18"/>
                <w:szCs w:val="18"/>
                <w:vertAlign w:val="baseline"/>
                <w:lang w:eastAsia="en-US"/>
              </w:rPr>
            </w:pPr>
            <w:r w:rsidRPr="00C2601B">
              <w:rPr>
                <w:rFonts w:eastAsia="Times New Roman" w:cs="Times New Roman"/>
                <w:sz w:val="18"/>
                <w:szCs w:val="18"/>
                <w:vertAlign w:val="baseline"/>
                <w:lang w:eastAsia="en-US"/>
              </w:rPr>
              <w:t>42,3</w:t>
            </w:r>
          </w:p>
        </w:tc>
      </w:tr>
    </w:tbl>
    <w:p w:rsidR="00FE6C7D" w:rsidRDefault="00FE6C7D" w:rsidP="00FE6C7D">
      <w:pPr>
        <w:keepNext/>
        <w:spacing w:before="120"/>
        <w:jc w:val="center"/>
        <w:rPr>
          <w:rFonts w:eastAsia="Calibri" w:cs="Times New Roman"/>
          <w:i/>
          <w:sz w:val="16"/>
          <w:szCs w:val="16"/>
          <w:vertAlign w:val="baseline"/>
          <w:lang w:eastAsia="en-US"/>
        </w:rPr>
      </w:pPr>
      <w:r w:rsidRPr="006C072E">
        <w:rPr>
          <w:rFonts w:eastAsia="Calibri" w:cs="Times New Roman"/>
          <w:i/>
          <w:sz w:val="16"/>
          <w:szCs w:val="16"/>
          <w:vertAlign w:val="baseline"/>
          <w:lang w:eastAsia="en-US"/>
        </w:rPr>
        <w:t>Sources : CESDIP, INSEE, IAU-IdF</w:t>
      </w:r>
      <w:r w:rsidRPr="006C072E">
        <w:rPr>
          <w:rFonts w:eastAsia="Calibri" w:cs="Times New Roman"/>
          <w:i/>
          <w:sz w:val="16"/>
          <w:szCs w:val="16"/>
          <w:vertAlign w:val="baseline"/>
          <w:lang w:eastAsia="en-US"/>
        </w:rPr>
        <w:tab/>
      </w:r>
      <w:r w:rsidRPr="006C072E">
        <w:rPr>
          <w:rFonts w:eastAsia="Calibri" w:cs="Times New Roman"/>
          <w:i/>
          <w:sz w:val="16"/>
          <w:szCs w:val="16"/>
          <w:vertAlign w:val="baseline"/>
          <w:lang w:eastAsia="en-US"/>
        </w:rPr>
        <w:tab/>
      </w:r>
      <w:r w:rsidRPr="006C072E">
        <w:rPr>
          <w:rFonts w:eastAsia="Calibri" w:cs="Times New Roman"/>
          <w:i/>
          <w:sz w:val="16"/>
          <w:szCs w:val="16"/>
          <w:vertAlign w:val="baseline"/>
          <w:lang w:eastAsia="en-US"/>
        </w:rPr>
        <w:tab/>
      </w:r>
      <w:r w:rsidRPr="006C072E">
        <w:rPr>
          <w:rFonts w:eastAsia="Calibri" w:cs="Times New Roman"/>
          <w:i/>
          <w:sz w:val="16"/>
          <w:szCs w:val="16"/>
          <w:vertAlign w:val="baseline"/>
          <w:lang w:eastAsia="en-US"/>
        </w:rPr>
        <w:tab/>
      </w:r>
      <w:r w:rsidRPr="006C072E">
        <w:rPr>
          <w:rFonts w:eastAsia="Calibri" w:cs="Times New Roman"/>
          <w:i/>
          <w:sz w:val="16"/>
          <w:szCs w:val="16"/>
          <w:vertAlign w:val="baseline"/>
          <w:lang w:eastAsia="en-US"/>
        </w:rPr>
        <w:tab/>
      </w:r>
      <w:r w:rsidRPr="006C072E">
        <w:rPr>
          <w:rFonts w:eastAsia="Calibri" w:cs="Times New Roman"/>
          <w:i/>
          <w:sz w:val="16"/>
          <w:szCs w:val="16"/>
          <w:vertAlign w:val="baseline"/>
          <w:lang w:eastAsia="en-US"/>
        </w:rPr>
        <w:tab/>
        <w:t>Champ : variable selon les enquêtes</w:t>
      </w:r>
    </w:p>
    <w:p w:rsidR="00FE6C7D" w:rsidRDefault="00FE6C7D" w:rsidP="00FE6C7D">
      <w:pPr>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ab/>
      </w:r>
    </w:p>
    <w:p w:rsidR="00FE6C7D" w:rsidRDefault="00FE6C7D" w:rsidP="00D36DF1">
      <w:pPr>
        <w:ind w:firstLine="708"/>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 xml:space="preserve">Le taux de renvoi varie dans d’importantes proportions selon la sorte de victimation (tableau 1). De manière contre-intuitive, elle semble globalement plus forte pour les atteintes aux biens : c’est pour les cambriolages de la résidence principale qu’elle est la plus élevée. </w:t>
      </w:r>
      <w:r>
        <w:rPr>
          <w:rFonts w:eastAsia="Calibri" w:cs="Times New Roman"/>
          <w:sz w:val="24"/>
          <w:szCs w:val="24"/>
          <w:vertAlign w:val="baseline"/>
          <w:lang w:eastAsia="en-US"/>
        </w:rPr>
        <w:t>Viennent ensuite les vols de et dans (ou sur) les voitures, puis les débits frauduleux et les vols personnels. Les enquêtes où l’on peut distinguer les vols de voiture de ceux dans (ou sur) ces véhicules montrent que les premiers atteignent en fait des ordres de grandeur comparables à ceux du cambriolage, tandis que le renvoi pour les seconds se situe plutôt au niveau de celui des vols personnels. Il est encore plus faible pour les dégradations de véhicules. En ce qui concerne les agressions, le renvoi est beaucoup plus fréquent en cas d’atteinte physique qu’en cas d’injures de menaces ou d’attitudes agressives. Les ordres de grandeur indiqués par les enquêtes franciliennes ne diffèrent pas fondamentalement des résultats nationaux, sauf pour les agressions sans contact physique où ils varient du simple au double, mais avec des dispositifs d’enquêtes différents.</w:t>
      </w:r>
    </w:p>
    <w:p w:rsidR="00FE6C7D" w:rsidRDefault="00FE6C7D" w:rsidP="00FE6C7D">
      <w:pPr>
        <w:jc w:val="both"/>
        <w:rPr>
          <w:sz w:val="24"/>
          <w:szCs w:val="24"/>
          <w:vertAlign w:val="baseline"/>
          <w:lang w:eastAsia="en-US"/>
        </w:rPr>
      </w:pPr>
      <w:r w:rsidRPr="00F5244F">
        <w:rPr>
          <w:sz w:val="24"/>
          <w:szCs w:val="24"/>
          <w:vertAlign w:val="baseline"/>
          <w:lang w:eastAsia="en-US"/>
        </w:rPr>
        <w:lastRenderedPageBreak/>
        <w:tab/>
        <w:t>Comme leurs homologues étrangères, les recherches françaises</w:t>
      </w:r>
      <w:r w:rsidRPr="00F5244F">
        <w:rPr>
          <w:sz w:val="24"/>
          <w:szCs w:val="24"/>
          <w:lang w:eastAsia="en-US"/>
        </w:rPr>
        <w:footnoteReference w:id="1"/>
      </w:r>
      <w:r w:rsidRPr="00F5244F">
        <w:rPr>
          <w:sz w:val="24"/>
          <w:szCs w:val="24"/>
          <w:vertAlign w:val="baseline"/>
          <w:lang w:eastAsia="en-US"/>
        </w:rPr>
        <w:t xml:space="preserve"> montrent que la gravité de la victimation (donc les dommages matériels ou physiques qu’elle a entrainés) constitue le principal déterminant du renvoi. Si les agressions présentent apparemment des taux de renvoi inférieurs aux atteintes aux biens, c’est parce que cette catégorie réunit des faits de gravité très variable : une ‘agression’ peut envoyer l’agr</w:t>
      </w:r>
      <w:r>
        <w:rPr>
          <w:sz w:val="24"/>
          <w:szCs w:val="24"/>
          <w:vertAlign w:val="baseline"/>
          <w:lang w:eastAsia="en-US"/>
        </w:rPr>
        <w:t>essé à l’hôpital ou se borner à</w:t>
      </w:r>
      <w:r w:rsidRPr="00F5244F">
        <w:rPr>
          <w:sz w:val="24"/>
          <w:szCs w:val="24"/>
          <w:vertAlign w:val="baseline"/>
          <w:lang w:eastAsia="en-US"/>
        </w:rPr>
        <w:t xml:space="preserve"> bourrade, voire une injure ou une menace. Les enquêtes franciliennes comprennent des informations sur les agressions sexuelles et celles entre proches</w:t>
      </w:r>
      <w:r w:rsidRPr="00F5244F">
        <w:rPr>
          <w:sz w:val="24"/>
          <w:szCs w:val="24"/>
          <w:lang w:eastAsia="en-US"/>
        </w:rPr>
        <w:footnoteReference w:id="2"/>
      </w:r>
      <w:r w:rsidRPr="00F5244F">
        <w:rPr>
          <w:sz w:val="24"/>
          <w:szCs w:val="24"/>
          <w:vertAlign w:val="baseline"/>
          <w:lang w:eastAsia="en-US"/>
        </w:rPr>
        <w:t xml:space="preserve">. </w:t>
      </w:r>
    </w:p>
    <w:p w:rsidR="00FE6C7D" w:rsidRDefault="00FE6C7D" w:rsidP="00FE6C7D">
      <w:pPr>
        <w:jc w:val="both"/>
        <w:rPr>
          <w:sz w:val="24"/>
          <w:szCs w:val="24"/>
          <w:vertAlign w:val="baseline"/>
          <w:lang w:eastAsia="en-US"/>
        </w:rPr>
      </w:pPr>
    </w:p>
    <w:p w:rsidR="00D36DF1" w:rsidRDefault="00D36DF1" w:rsidP="00D36DF1">
      <w:pPr>
        <w:keepNext/>
        <w:spacing w:after="40"/>
        <w:jc w:val="center"/>
        <w:rPr>
          <w:i/>
          <w:vertAlign w:val="baseline"/>
          <w:lang w:eastAsia="en-US"/>
        </w:rPr>
      </w:pPr>
      <w:r>
        <w:rPr>
          <w:i/>
          <w:vertAlign w:val="baseline"/>
          <w:lang w:eastAsia="en-US"/>
        </w:rPr>
        <w:t>Tableau 2 : Taux de renvoi dans les victimations sexuelles ou entre proches, Île-de-France, 1999-2016</w:t>
      </w:r>
    </w:p>
    <w:tbl>
      <w:tblPr>
        <w:tblW w:w="5274" w:type="dxa"/>
        <w:jc w:val="center"/>
        <w:tblLayout w:type="fixed"/>
        <w:tblCellMar>
          <w:left w:w="0" w:type="dxa"/>
          <w:right w:w="0" w:type="dxa"/>
        </w:tblCellMar>
        <w:tblLook w:val="04A0" w:firstRow="1" w:lastRow="0" w:firstColumn="1" w:lastColumn="0" w:noHBand="0" w:noVBand="1"/>
      </w:tblPr>
      <w:tblGrid>
        <w:gridCol w:w="1039"/>
        <w:gridCol w:w="1058"/>
        <w:gridCol w:w="1059"/>
        <w:gridCol w:w="1059"/>
        <w:gridCol w:w="1059"/>
      </w:tblGrid>
      <w:tr w:rsidR="00D36DF1" w:rsidRPr="000F1B34" w:rsidTr="00E805A1">
        <w:trPr>
          <w:trHeight w:val="310"/>
          <w:jc w:val="center"/>
        </w:trPr>
        <w:tc>
          <w:tcPr>
            <w:tcW w:w="1039" w:type="dxa"/>
            <w:vMerge w:val="restart"/>
            <w:tcBorders>
              <w:bottom w:val="single" w:sz="4" w:space="0" w:color="auto"/>
              <w:right w:val="single" w:sz="4" w:space="0" w:color="auto"/>
            </w:tcBorders>
            <w:shd w:val="clear" w:color="auto" w:fill="auto"/>
            <w:noWrap/>
            <w:tcMar>
              <w:top w:w="0" w:type="dxa"/>
              <w:left w:w="70" w:type="dxa"/>
              <w:bottom w:w="0" w:type="dxa"/>
              <w:right w:w="70" w:type="dxa"/>
            </w:tcMar>
            <w:vAlign w:val="center"/>
          </w:tcPr>
          <w:p w:rsidR="00D36DF1" w:rsidRPr="000F1B34" w:rsidRDefault="00D36DF1" w:rsidP="00E805A1">
            <w:pPr>
              <w:jc w:val="center"/>
              <w:rPr>
                <w:sz w:val="22"/>
                <w:szCs w:val="22"/>
              </w:rPr>
            </w:pPr>
          </w:p>
        </w:tc>
        <w:tc>
          <w:tcPr>
            <w:tcW w:w="2117" w:type="dxa"/>
            <w:gridSpan w:val="2"/>
            <w:tcBorders>
              <w:top w:val="single" w:sz="8"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D36DF1" w:rsidRPr="000F1B34" w:rsidRDefault="00D36DF1" w:rsidP="00E805A1">
            <w:pPr>
              <w:jc w:val="center"/>
              <w:rPr>
                <w:sz w:val="22"/>
                <w:szCs w:val="22"/>
              </w:rPr>
            </w:pPr>
            <w:r w:rsidRPr="000F1B34">
              <w:rPr>
                <w:sz w:val="22"/>
                <w:szCs w:val="22"/>
              </w:rPr>
              <w:t>agressions sexuelles</w:t>
            </w:r>
          </w:p>
        </w:tc>
        <w:tc>
          <w:tcPr>
            <w:tcW w:w="2118" w:type="dxa"/>
            <w:gridSpan w:val="2"/>
            <w:tcBorders>
              <w:top w:val="single" w:sz="8"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tcPr>
          <w:p w:rsidR="00D36DF1" w:rsidRPr="000F1B34" w:rsidRDefault="00D36DF1" w:rsidP="00E805A1">
            <w:pPr>
              <w:jc w:val="center"/>
              <w:rPr>
                <w:sz w:val="22"/>
                <w:szCs w:val="22"/>
              </w:rPr>
            </w:pPr>
            <w:r w:rsidRPr="000F1B34">
              <w:rPr>
                <w:sz w:val="22"/>
                <w:szCs w:val="22"/>
              </w:rPr>
              <w:t>agressions familiales</w:t>
            </w:r>
          </w:p>
        </w:tc>
      </w:tr>
      <w:tr w:rsidR="00D36DF1" w:rsidRPr="000F1B34" w:rsidTr="00E805A1">
        <w:trPr>
          <w:trHeight w:val="235"/>
          <w:jc w:val="center"/>
        </w:trPr>
        <w:tc>
          <w:tcPr>
            <w:tcW w:w="1039" w:type="dxa"/>
            <w:vMerge/>
            <w:tcBorders>
              <w:top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renvois</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plaintes</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renvois</w:t>
            </w:r>
          </w:p>
        </w:tc>
        <w:tc>
          <w:tcPr>
            <w:tcW w:w="1059"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plaintes</w:t>
            </w:r>
          </w:p>
        </w:tc>
      </w:tr>
      <w:tr w:rsidR="00D36DF1" w:rsidRPr="000F1B34" w:rsidTr="00E805A1">
        <w:trPr>
          <w:trHeight w:hRule="exact" w:val="227"/>
          <w:jc w:val="center"/>
        </w:trPr>
        <w:tc>
          <w:tcPr>
            <w:tcW w:w="103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D36DF1" w:rsidRPr="000F1B34" w:rsidRDefault="00D36DF1" w:rsidP="00E805A1">
            <w:pPr>
              <w:jc w:val="center"/>
              <w:rPr>
                <w:sz w:val="22"/>
                <w:szCs w:val="22"/>
              </w:rPr>
            </w:pPr>
            <w:proofErr w:type="spellStart"/>
            <w:r w:rsidRPr="000F1B34">
              <w:rPr>
                <w:sz w:val="22"/>
                <w:szCs w:val="22"/>
              </w:rPr>
              <w:t>Idf</w:t>
            </w:r>
            <w:proofErr w:type="spellEnd"/>
            <w:r w:rsidRPr="000F1B34">
              <w:rPr>
                <w:sz w:val="22"/>
                <w:szCs w:val="22"/>
              </w:rPr>
              <w:t xml:space="preserve"> 1999-00</w:t>
            </w:r>
          </w:p>
        </w:tc>
        <w:tc>
          <w:tcPr>
            <w:tcW w:w="105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32,0</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22,0</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37,3</w:t>
            </w:r>
          </w:p>
        </w:tc>
        <w:tc>
          <w:tcPr>
            <w:tcW w:w="1059"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21,3</w:t>
            </w:r>
          </w:p>
        </w:tc>
      </w:tr>
      <w:tr w:rsidR="00D36DF1" w:rsidRPr="000F1B34" w:rsidTr="00E805A1">
        <w:trPr>
          <w:trHeight w:hRule="exact" w:val="227"/>
          <w:jc w:val="center"/>
        </w:trPr>
        <w:tc>
          <w:tcPr>
            <w:tcW w:w="103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D36DF1" w:rsidRPr="000F1B34" w:rsidRDefault="00D36DF1" w:rsidP="00E805A1">
            <w:pPr>
              <w:jc w:val="center"/>
              <w:rPr>
                <w:sz w:val="22"/>
                <w:szCs w:val="22"/>
              </w:rPr>
            </w:pPr>
            <w:proofErr w:type="spellStart"/>
            <w:r w:rsidRPr="000F1B34">
              <w:rPr>
                <w:sz w:val="22"/>
                <w:szCs w:val="22"/>
              </w:rPr>
              <w:t>Idf</w:t>
            </w:r>
            <w:proofErr w:type="spellEnd"/>
            <w:r w:rsidRPr="000F1B34">
              <w:rPr>
                <w:sz w:val="22"/>
                <w:szCs w:val="22"/>
              </w:rPr>
              <w:t xml:space="preserve"> 2001-02</w:t>
            </w:r>
          </w:p>
        </w:tc>
        <w:tc>
          <w:tcPr>
            <w:tcW w:w="105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26,4</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17,0</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40,0</w:t>
            </w:r>
          </w:p>
        </w:tc>
        <w:tc>
          <w:tcPr>
            <w:tcW w:w="1059"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22,9</w:t>
            </w:r>
          </w:p>
        </w:tc>
      </w:tr>
      <w:tr w:rsidR="00D36DF1" w:rsidRPr="000F1B34" w:rsidTr="00E805A1">
        <w:trPr>
          <w:trHeight w:hRule="exact" w:val="227"/>
          <w:jc w:val="center"/>
        </w:trPr>
        <w:tc>
          <w:tcPr>
            <w:tcW w:w="103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D36DF1" w:rsidRPr="000F1B34" w:rsidRDefault="00D36DF1" w:rsidP="00E805A1">
            <w:pPr>
              <w:jc w:val="center"/>
              <w:rPr>
                <w:sz w:val="22"/>
                <w:szCs w:val="22"/>
              </w:rPr>
            </w:pPr>
            <w:proofErr w:type="spellStart"/>
            <w:r w:rsidRPr="000F1B34">
              <w:rPr>
                <w:sz w:val="22"/>
                <w:szCs w:val="22"/>
              </w:rPr>
              <w:t>Idf</w:t>
            </w:r>
            <w:proofErr w:type="spellEnd"/>
            <w:r w:rsidRPr="000F1B34">
              <w:rPr>
                <w:sz w:val="22"/>
                <w:szCs w:val="22"/>
              </w:rPr>
              <w:t xml:space="preserve"> 2003-04</w:t>
            </w:r>
          </w:p>
        </w:tc>
        <w:tc>
          <w:tcPr>
            <w:tcW w:w="105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39,5</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26,3</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44,6</w:t>
            </w:r>
          </w:p>
        </w:tc>
        <w:tc>
          <w:tcPr>
            <w:tcW w:w="1059"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20,7</w:t>
            </w:r>
          </w:p>
        </w:tc>
      </w:tr>
      <w:tr w:rsidR="00D36DF1" w:rsidRPr="000F1B34" w:rsidTr="00E805A1">
        <w:trPr>
          <w:trHeight w:hRule="exact" w:val="227"/>
          <w:jc w:val="center"/>
        </w:trPr>
        <w:tc>
          <w:tcPr>
            <w:tcW w:w="103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D36DF1" w:rsidRPr="000F1B34" w:rsidRDefault="00D36DF1" w:rsidP="00E805A1">
            <w:pPr>
              <w:jc w:val="center"/>
              <w:rPr>
                <w:sz w:val="22"/>
                <w:szCs w:val="22"/>
              </w:rPr>
            </w:pPr>
            <w:proofErr w:type="spellStart"/>
            <w:r w:rsidRPr="000F1B34">
              <w:rPr>
                <w:sz w:val="22"/>
                <w:szCs w:val="22"/>
              </w:rPr>
              <w:t>IdF</w:t>
            </w:r>
            <w:proofErr w:type="spellEnd"/>
            <w:r w:rsidRPr="000F1B34">
              <w:rPr>
                <w:sz w:val="22"/>
                <w:szCs w:val="22"/>
              </w:rPr>
              <w:t xml:space="preserve"> 2005-06</w:t>
            </w:r>
          </w:p>
        </w:tc>
        <w:tc>
          <w:tcPr>
            <w:tcW w:w="105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40,9</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27,3</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52,1</w:t>
            </w:r>
          </w:p>
        </w:tc>
        <w:tc>
          <w:tcPr>
            <w:tcW w:w="1059"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29,1</w:t>
            </w:r>
          </w:p>
        </w:tc>
      </w:tr>
      <w:tr w:rsidR="00D36DF1" w:rsidRPr="000F1B34" w:rsidTr="00E805A1">
        <w:trPr>
          <w:trHeight w:hRule="exact" w:val="227"/>
          <w:jc w:val="center"/>
        </w:trPr>
        <w:tc>
          <w:tcPr>
            <w:tcW w:w="103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D36DF1" w:rsidRPr="000F1B34" w:rsidRDefault="00D36DF1" w:rsidP="00E805A1">
            <w:pPr>
              <w:jc w:val="center"/>
              <w:rPr>
                <w:sz w:val="22"/>
                <w:szCs w:val="22"/>
              </w:rPr>
            </w:pPr>
            <w:proofErr w:type="spellStart"/>
            <w:r w:rsidRPr="000F1B34">
              <w:rPr>
                <w:sz w:val="22"/>
                <w:szCs w:val="22"/>
              </w:rPr>
              <w:t>IdF</w:t>
            </w:r>
            <w:proofErr w:type="spellEnd"/>
            <w:r w:rsidRPr="000F1B34">
              <w:rPr>
                <w:sz w:val="22"/>
                <w:szCs w:val="22"/>
              </w:rPr>
              <w:t xml:space="preserve"> 2007-08</w:t>
            </w:r>
          </w:p>
        </w:tc>
        <w:tc>
          <w:tcPr>
            <w:tcW w:w="105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36,0</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18,0</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54,7</w:t>
            </w:r>
          </w:p>
        </w:tc>
        <w:tc>
          <w:tcPr>
            <w:tcW w:w="1059"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26,3</w:t>
            </w:r>
          </w:p>
        </w:tc>
      </w:tr>
      <w:tr w:rsidR="00D36DF1" w:rsidRPr="000F1B34" w:rsidTr="00E805A1">
        <w:trPr>
          <w:trHeight w:hRule="exact" w:val="227"/>
          <w:jc w:val="center"/>
        </w:trPr>
        <w:tc>
          <w:tcPr>
            <w:tcW w:w="103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D36DF1" w:rsidRPr="000F1B34" w:rsidRDefault="00D36DF1" w:rsidP="00E805A1">
            <w:pPr>
              <w:jc w:val="center"/>
              <w:rPr>
                <w:sz w:val="22"/>
                <w:szCs w:val="22"/>
              </w:rPr>
            </w:pPr>
            <w:proofErr w:type="spellStart"/>
            <w:r w:rsidRPr="000F1B34">
              <w:rPr>
                <w:sz w:val="22"/>
                <w:szCs w:val="22"/>
              </w:rPr>
              <w:t>IdF</w:t>
            </w:r>
            <w:proofErr w:type="spellEnd"/>
            <w:r w:rsidRPr="000F1B34">
              <w:rPr>
                <w:sz w:val="22"/>
                <w:szCs w:val="22"/>
              </w:rPr>
              <w:t xml:space="preserve"> 2009-10</w:t>
            </w:r>
          </w:p>
        </w:tc>
        <w:tc>
          <w:tcPr>
            <w:tcW w:w="105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41,0</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28,2</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40,5</w:t>
            </w:r>
          </w:p>
        </w:tc>
        <w:tc>
          <w:tcPr>
            <w:tcW w:w="1059"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20,2</w:t>
            </w:r>
          </w:p>
        </w:tc>
      </w:tr>
      <w:tr w:rsidR="00D36DF1" w:rsidRPr="000F1B34" w:rsidTr="00E805A1">
        <w:trPr>
          <w:trHeight w:hRule="exact" w:val="227"/>
          <w:jc w:val="center"/>
        </w:trPr>
        <w:tc>
          <w:tcPr>
            <w:tcW w:w="103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D36DF1" w:rsidRPr="000F1B34" w:rsidRDefault="00D36DF1" w:rsidP="00E805A1">
            <w:pPr>
              <w:jc w:val="center"/>
              <w:rPr>
                <w:sz w:val="22"/>
                <w:szCs w:val="22"/>
              </w:rPr>
            </w:pPr>
            <w:proofErr w:type="spellStart"/>
            <w:r w:rsidRPr="000F1B34">
              <w:rPr>
                <w:sz w:val="22"/>
                <w:szCs w:val="22"/>
              </w:rPr>
              <w:t>IdF</w:t>
            </w:r>
            <w:proofErr w:type="spellEnd"/>
            <w:r w:rsidRPr="000F1B34">
              <w:rPr>
                <w:sz w:val="22"/>
                <w:szCs w:val="22"/>
              </w:rPr>
              <w:t xml:space="preserve"> 2011-12</w:t>
            </w:r>
          </w:p>
        </w:tc>
        <w:tc>
          <w:tcPr>
            <w:tcW w:w="105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43,9</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24,6</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44,6</w:t>
            </w:r>
          </w:p>
        </w:tc>
        <w:tc>
          <w:tcPr>
            <w:tcW w:w="1059"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21,7</w:t>
            </w:r>
          </w:p>
        </w:tc>
      </w:tr>
      <w:tr w:rsidR="00D36DF1" w:rsidRPr="000F1B34" w:rsidTr="00E805A1">
        <w:trPr>
          <w:trHeight w:hRule="exact" w:val="227"/>
          <w:jc w:val="center"/>
        </w:trPr>
        <w:tc>
          <w:tcPr>
            <w:tcW w:w="103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D36DF1" w:rsidRPr="000F1B34" w:rsidRDefault="00D36DF1" w:rsidP="00E805A1">
            <w:pPr>
              <w:jc w:val="center"/>
              <w:rPr>
                <w:sz w:val="22"/>
                <w:szCs w:val="22"/>
              </w:rPr>
            </w:pPr>
            <w:proofErr w:type="spellStart"/>
            <w:r w:rsidRPr="000F1B34">
              <w:rPr>
                <w:sz w:val="22"/>
                <w:szCs w:val="22"/>
              </w:rPr>
              <w:t>IdF</w:t>
            </w:r>
            <w:proofErr w:type="spellEnd"/>
            <w:r w:rsidRPr="000F1B34">
              <w:rPr>
                <w:sz w:val="22"/>
                <w:szCs w:val="22"/>
              </w:rPr>
              <w:t xml:space="preserve"> 2013-14</w:t>
            </w:r>
          </w:p>
        </w:tc>
        <w:tc>
          <w:tcPr>
            <w:tcW w:w="105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23,7</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13,6</w:t>
            </w:r>
          </w:p>
        </w:tc>
        <w:tc>
          <w:tcPr>
            <w:tcW w:w="10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47,6</w:t>
            </w:r>
          </w:p>
        </w:tc>
        <w:tc>
          <w:tcPr>
            <w:tcW w:w="1059"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20,4</w:t>
            </w:r>
          </w:p>
        </w:tc>
      </w:tr>
      <w:tr w:rsidR="00D36DF1" w:rsidRPr="000F1B34" w:rsidTr="00E805A1">
        <w:trPr>
          <w:trHeight w:hRule="exact" w:val="227"/>
          <w:jc w:val="center"/>
        </w:trPr>
        <w:tc>
          <w:tcPr>
            <w:tcW w:w="1039" w:type="dxa"/>
            <w:tcBorders>
              <w:top w:val="single" w:sz="4"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vAlign w:val="center"/>
            <w:hideMark/>
          </w:tcPr>
          <w:p w:rsidR="00D36DF1" w:rsidRPr="000F1B34" w:rsidRDefault="00D36DF1" w:rsidP="00E805A1">
            <w:pPr>
              <w:jc w:val="center"/>
              <w:rPr>
                <w:sz w:val="22"/>
                <w:szCs w:val="22"/>
              </w:rPr>
            </w:pPr>
            <w:proofErr w:type="spellStart"/>
            <w:r w:rsidRPr="000F1B34">
              <w:rPr>
                <w:sz w:val="22"/>
                <w:szCs w:val="22"/>
              </w:rPr>
              <w:t>IdF</w:t>
            </w:r>
            <w:proofErr w:type="spellEnd"/>
            <w:r w:rsidRPr="000F1B34">
              <w:rPr>
                <w:sz w:val="22"/>
                <w:szCs w:val="22"/>
              </w:rPr>
              <w:t xml:space="preserve"> 2015-16</w:t>
            </w:r>
          </w:p>
        </w:tc>
        <w:tc>
          <w:tcPr>
            <w:tcW w:w="1058" w:type="dxa"/>
            <w:tcBorders>
              <w:top w:val="single" w:sz="4" w:space="0" w:color="auto"/>
              <w:left w:val="single" w:sz="4" w:space="0" w:color="auto"/>
              <w:bottom w:val="single" w:sz="8"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23,2</w:t>
            </w:r>
          </w:p>
        </w:tc>
        <w:tc>
          <w:tcPr>
            <w:tcW w:w="1059" w:type="dxa"/>
            <w:tcBorders>
              <w:top w:val="single" w:sz="4" w:space="0" w:color="auto"/>
              <w:left w:val="single" w:sz="4" w:space="0" w:color="auto"/>
              <w:bottom w:val="single" w:sz="8"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14,6</w:t>
            </w:r>
          </w:p>
        </w:tc>
        <w:tc>
          <w:tcPr>
            <w:tcW w:w="1059" w:type="dxa"/>
            <w:tcBorders>
              <w:top w:val="single" w:sz="4" w:space="0" w:color="auto"/>
              <w:left w:val="single" w:sz="4" w:space="0" w:color="auto"/>
              <w:bottom w:val="single" w:sz="8" w:space="0" w:color="auto"/>
              <w:right w:val="single" w:sz="4"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52,2</w:t>
            </w:r>
          </w:p>
        </w:tc>
        <w:tc>
          <w:tcPr>
            <w:tcW w:w="1059" w:type="dxa"/>
            <w:tcBorders>
              <w:top w:val="single" w:sz="4"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36DF1" w:rsidRPr="000F1B34" w:rsidRDefault="00D36DF1" w:rsidP="00E805A1">
            <w:pPr>
              <w:jc w:val="center"/>
              <w:rPr>
                <w:sz w:val="22"/>
                <w:szCs w:val="22"/>
              </w:rPr>
            </w:pPr>
            <w:r w:rsidRPr="000F1B34">
              <w:rPr>
                <w:sz w:val="22"/>
                <w:szCs w:val="22"/>
              </w:rPr>
              <w:t>26,7</w:t>
            </w:r>
          </w:p>
        </w:tc>
      </w:tr>
    </w:tbl>
    <w:p w:rsidR="00D36DF1" w:rsidRPr="0025539C" w:rsidRDefault="00D36DF1" w:rsidP="00D36DF1">
      <w:pPr>
        <w:keepNext/>
        <w:jc w:val="center"/>
        <w:rPr>
          <w:i/>
          <w:sz w:val="16"/>
          <w:szCs w:val="16"/>
          <w:vertAlign w:val="baseline"/>
          <w:lang w:eastAsia="en-US"/>
        </w:rPr>
      </w:pPr>
      <w:r>
        <w:rPr>
          <w:i/>
          <w:sz w:val="16"/>
          <w:szCs w:val="16"/>
          <w:vertAlign w:val="baseline"/>
          <w:lang w:eastAsia="en-US"/>
        </w:rPr>
        <w:t>Source : IAU-</w:t>
      </w:r>
      <w:proofErr w:type="spellStart"/>
      <w:r>
        <w:rPr>
          <w:i/>
          <w:sz w:val="16"/>
          <w:szCs w:val="16"/>
          <w:vertAlign w:val="baseline"/>
          <w:lang w:eastAsia="en-US"/>
        </w:rPr>
        <w:t>IdF</w:t>
      </w:r>
      <w:proofErr w:type="spellEnd"/>
      <w:r>
        <w:rPr>
          <w:i/>
          <w:sz w:val="16"/>
          <w:szCs w:val="16"/>
          <w:vertAlign w:val="baseline"/>
          <w:lang w:eastAsia="en-US"/>
        </w:rPr>
        <w:tab/>
      </w:r>
      <w:r>
        <w:rPr>
          <w:i/>
          <w:sz w:val="16"/>
          <w:szCs w:val="16"/>
          <w:vertAlign w:val="baseline"/>
          <w:lang w:eastAsia="en-US"/>
        </w:rPr>
        <w:tab/>
      </w:r>
      <w:r>
        <w:rPr>
          <w:i/>
          <w:sz w:val="16"/>
          <w:szCs w:val="16"/>
          <w:vertAlign w:val="baseline"/>
          <w:lang w:eastAsia="en-US"/>
        </w:rPr>
        <w:tab/>
      </w:r>
      <w:r>
        <w:rPr>
          <w:i/>
          <w:sz w:val="16"/>
          <w:szCs w:val="16"/>
          <w:vertAlign w:val="baseline"/>
          <w:lang w:eastAsia="en-US"/>
        </w:rPr>
        <w:tab/>
        <w:t>champ : Île-de-France</w:t>
      </w:r>
    </w:p>
    <w:p w:rsidR="00FE6C7D" w:rsidRDefault="00FE6C7D" w:rsidP="00FE6C7D">
      <w:pPr>
        <w:jc w:val="both"/>
        <w:rPr>
          <w:sz w:val="24"/>
          <w:szCs w:val="24"/>
          <w:vertAlign w:val="baseline"/>
          <w:lang w:eastAsia="en-US"/>
        </w:rPr>
      </w:pPr>
    </w:p>
    <w:p w:rsidR="00FE6C7D" w:rsidRPr="00F5244F" w:rsidRDefault="00FE6C7D" w:rsidP="00FE6C7D">
      <w:pPr>
        <w:jc w:val="both"/>
        <w:rPr>
          <w:sz w:val="24"/>
          <w:szCs w:val="24"/>
          <w:vertAlign w:val="baseline"/>
          <w:lang w:eastAsia="en-US"/>
        </w:rPr>
      </w:pPr>
      <w:r>
        <w:rPr>
          <w:sz w:val="24"/>
          <w:szCs w:val="24"/>
          <w:vertAlign w:val="baseline"/>
          <w:lang w:eastAsia="en-US"/>
        </w:rPr>
        <w:tab/>
      </w:r>
      <w:r w:rsidRPr="00F5244F">
        <w:rPr>
          <w:sz w:val="24"/>
          <w:szCs w:val="24"/>
          <w:vertAlign w:val="baseline"/>
          <w:lang w:eastAsia="en-US"/>
        </w:rPr>
        <w:t xml:space="preserve">Elles permettent de découvrir un apparent paradoxe : l’agression sexuelle – qui suscite pourtant de très fortes émotions chez ceux qui en sont victimes – et celle par un proche cohabitant – qui entraîne souvent les dommages physiques les plus caractérisés – présentent des taux de renvoi parmi les plus faibles. Des facteurs particuliers interviennent alors, en effet, pour inhiber le renvoi, par exemple le désir de ne pas ruiner trop vite la relation entre l’auteur et la victime au sein d’une même famille en y faisant intervenir un tiers institutionnel, la crainte que les exigences de l’enquête pénale et les manières des enquêteurs peut susciter chez la victime d’agression sexuelle, quelquefois la peur de représailles. </w:t>
      </w:r>
    </w:p>
    <w:p w:rsidR="00FE6C7D" w:rsidRPr="006C072E" w:rsidRDefault="00FE6C7D" w:rsidP="00FE6C7D">
      <w:pPr>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ab/>
        <w:t>Un examen plus approfondi</w:t>
      </w:r>
      <w:r w:rsidRPr="006C072E">
        <w:rPr>
          <w:rFonts w:eastAsia="Calibri" w:cs="Times New Roman"/>
          <w:sz w:val="24"/>
          <w:szCs w:val="24"/>
          <w:lang w:eastAsia="en-US"/>
        </w:rPr>
        <w:footnoteReference w:id="3"/>
      </w:r>
      <w:r w:rsidRPr="006C072E">
        <w:rPr>
          <w:rFonts w:eastAsia="Calibri" w:cs="Times New Roman"/>
          <w:sz w:val="24"/>
          <w:szCs w:val="24"/>
          <w:vertAlign w:val="baseline"/>
          <w:lang w:eastAsia="en-US"/>
        </w:rPr>
        <w:t xml:space="preserve"> montre que derrière la gravité de la victimation se cachent souvent d’autres déterminants :</w:t>
      </w:r>
    </w:p>
    <w:p w:rsidR="00FE6C7D" w:rsidRPr="006C072E" w:rsidRDefault="00FE6C7D" w:rsidP="00FE6C7D">
      <w:pPr>
        <w:ind w:firstLine="708"/>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 xml:space="preserve"> i) bonne partie des victimations arrivent à la police parce que sont en cause des ‘biens immatriculés’ (cartes de crédit, papiers d’identité, véhicules…) pour lesquels le volé doit impérativement faire une déclaration pour dégager sa responsabilité des usages frauduleux qui pourraient en être faits ;</w:t>
      </w:r>
    </w:p>
    <w:p w:rsidR="00FE6C7D" w:rsidRPr="006C072E" w:rsidRDefault="00FE6C7D" w:rsidP="00FE6C7D">
      <w:pPr>
        <w:ind w:firstLine="708"/>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 xml:space="preserve">ii) c’est bien souvent la perspective d’une déclaration de sinistre à l’assurance qui pousse à opérer au préalable un renvoi à la police ; </w:t>
      </w:r>
    </w:p>
    <w:p w:rsidR="00FE6C7D" w:rsidRPr="006C072E" w:rsidRDefault="00FE6C7D" w:rsidP="00FE6C7D">
      <w:pPr>
        <w:ind w:firstLine="708"/>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 xml:space="preserve">iii) les chances de renvoi augmentent quand le méfait mord sur le territoire privé de l’enquêté ; </w:t>
      </w:r>
    </w:p>
    <w:p w:rsidR="00FE6C7D" w:rsidRPr="006C072E" w:rsidRDefault="00FE6C7D" w:rsidP="00FE6C7D">
      <w:pPr>
        <w:ind w:firstLine="708"/>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iv) enfin les attitudes des enquêtés interviennent aussi dans la détermination du renvoi : celui qui voudrait davantage de policiers est plus porté à se tourner vers eux que l’enquêté peu motivé par les questions de sécurité.</w:t>
      </w:r>
    </w:p>
    <w:p w:rsidR="00D36DF1" w:rsidRDefault="00D36DF1" w:rsidP="00FE6C7D">
      <w:pPr>
        <w:keepNext/>
        <w:keepLines/>
        <w:spacing w:before="480"/>
        <w:jc w:val="center"/>
        <w:outlineLvl w:val="0"/>
        <w:rPr>
          <w:rFonts w:eastAsia="Times New Roman" w:cs="Times New Roman"/>
          <w:b/>
          <w:bCs/>
          <w:color w:val="365F91"/>
          <w:sz w:val="24"/>
          <w:szCs w:val="24"/>
          <w:vertAlign w:val="baseline"/>
          <w:lang w:eastAsia="en-US"/>
        </w:rPr>
      </w:pPr>
    </w:p>
    <w:p w:rsidR="00FE6C7D" w:rsidRPr="00FE6C7D" w:rsidRDefault="00FE6C7D" w:rsidP="00FE6C7D">
      <w:pPr>
        <w:keepNext/>
        <w:keepLines/>
        <w:spacing w:before="480"/>
        <w:jc w:val="center"/>
        <w:outlineLvl w:val="0"/>
        <w:rPr>
          <w:rFonts w:eastAsia="Times New Roman" w:cs="Times New Roman"/>
          <w:b/>
          <w:bCs/>
          <w:color w:val="365F91"/>
          <w:sz w:val="24"/>
          <w:szCs w:val="24"/>
          <w:vertAlign w:val="baseline"/>
          <w:lang w:eastAsia="en-US"/>
        </w:rPr>
      </w:pPr>
      <w:r w:rsidRPr="00FE6C7D">
        <w:rPr>
          <w:rFonts w:eastAsia="Times New Roman" w:cs="Times New Roman"/>
          <w:b/>
          <w:bCs/>
          <w:color w:val="365F91"/>
          <w:sz w:val="24"/>
          <w:szCs w:val="24"/>
          <w:vertAlign w:val="baseline"/>
          <w:lang w:eastAsia="en-US"/>
        </w:rPr>
        <w:t>Références</w:t>
      </w:r>
    </w:p>
    <w:p w:rsidR="00FE6C7D" w:rsidRPr="00FE6C7D" w:rsidRDefault="00FE6C7D" w:rsidP="00FE6C7D">
      <w:pPr>
        <w:jc w:val="both"/>
        <w:rPr>
          <w:rFonts w:eastAsia="Calibri" w:cs="Times New Roman"/>
          <w:sz w:val="24"/>
          <w:szCs w:val="24"/>
          <w:vertAlign w:val="baseline"/>
          <w:lang w:eastAsia="en-US"/>
        </w:rPr>
      </w:pPr>
    </w:p>
    <w:p w:rsidR="00FE6C7D" w:rsidRPr="006C072E" w:rsidRDefault="00FE6C7D" w:rsidP="00FE6C7D">
      <w:pPr>
        <w:spacing w:before="60"/>
        <w:ind w:left="284" w:hanging="284"/>
        <w:jc w:val="both"/>
        <w:rPr>
          <w:rFonts w:eastAsia="Times New Roman" w:cs="Times New Roman"/>
          <w:sz w:val="24"/>
          <w:szCs w:val="24"/>
          <w:vertAlign w:val="baseline"/>
          <w:lang w:eastAsia="en-US"/>
        </w:rPr>
      </w:pPr>
      <w:proofErr w:type="spellStart"/>
      <w:r w:rsidRPr="006C072E">
        <w:rPr>
          <w:rFonts w:eastAsia="Times New Roman" w:cs="Times New Roman"/>
          <w:smallCaps/>
          <w:sz w:val="24"/>
          <w:szCs w:val="24"/>
          <w:vertAlign w:val="baseline"/>
          <w:lang w:eastAsia="en-US"/>
        </w:rPr>
        <w:t>Carrasco</w:t>
      </w:r>
      <w:proofErr w:type="spellEnd"/>
      <w:r w:rsidRPr="006C072E">
        <w:rPr>
          <w:rFonts w:eastAsia="Times New Roman" w:cs="Times New Roman"/>
          <w:smallCaps/>
          <w:sz w:val="24"/>
          <w:szCs w:val="24"/>
          <w:vertAlign w:val="baseline"/>
          <w:lang w:eastAsia="en-US"/>
        </w:rPr>
        <w:t xml:space="preserve"> V., </w:t>
      </w:r>
      <w:proofErr w:type="spellStart"/>
      <w:r w:rsidRPr="006C072E">
        <w:rPr>
          <w:rFonts w:eastAsia="Times New Roman" w:cs="Times New Roman"/>
          <w:smallCaps/>
          <w:sz w:val="24"/>
          <w:szCs w:val="24"/>
          <w:vertAlign w:val="baseline"/>
          <w:lang w:eastAsia="en-US"/>
        </w:rPr>
        <w:t>Chaussebourg</w:t>
      </w:r>
      <w:proofErr w:type="spellEnd"/>
      <w:r w:rsidRPr="006C072E">
        <w:rPr>
          <w:rFonts w:eastAsia="Times New Roman" w:cs="Times New Roman"/>
          <w:smallCaps/>
          <w:sz w:val="24"/>
          <w:szCs w:val="24"/>
          <w:vertAlign w:val="baseline"/>
          <w:lang w:eastAsia="en-US"/>
        </w:rPr>
        <w:t xml:space="preserve"> L., </w:t>
      </w:r>
      <w:proofErr w:type="spellStart"/>
      <w:r w:rsidRPr="006C072E">
        <w:rPr>
          <w:rFonts w:eastAsia="Times New Roman" w:cs="Times New Roman"/>
          <w:smallCaps/>
          <w:sz w:val="24"/>
          <w:szCs w:val="24"/>
          <w:vertAlign w:val="baseline"/>
          <w:lang w:eastAsia="en-US"/>
        </w:rPr>
        <w:t>Creusat</w:t>
      </w:r>
      <w:proofErr w:type="spellEnd"/>
      <w:r w:rsidRPr="006C072E">
        <w:rPr>
          <w:rFonts w:eastAsia="Times New Roman" w:cs="Times New Roman"/>
          <w:smallCaps/>
          <w:sz w:val="24"/>
          <w:szCs w:val="24"/>
          <w:vertAlign w:val="baseline"/>
          <w:lang w:eastAsia="en-US"/>
        </w:rPr>
        <w:t xml:space="preserve"> J., </w:t>
      </w:r>
      <w:r w:rsidRPr="006C072E">
        <w:rPr>
          <w:rFonts w:eastAsia="Times New Roman" w:cs="Times New Roman"/>
          <w:sz w:val="24"/>
          <w:szCs w:val="24"/>
          <w:vertAlign w:val="baseline"/>
          <w:lang w:eastAsia="en-US"/>
        </w:rPr>
        <w:t>2011, Les déterminants du dépôt de plainte</w:t>
      </w:r>
      <w:r w:rsidRPr="006C072E">
        <w:rPr>
          <w:rFonts w:ascii="Times New Roman" w:eastAsia="Times New Roman" w:hAnsi="Times New Roman" w:cs="Times New Roman"/>
          <w:sz w:val="24"/>
          <w:szCs w:val="24"/>
          <w:vertAlign w:val="baseline"/>
          <w:lang w:eastAsia="en-US"/>
        </w:rPr>
        <w:t> </w:t>
      </w:r>
      <w:r w:rsidRPr="006C072E">
        <w:rPr>
          <w:rFonts w:eastAsia="Times New Roman" w:cs="Times New Roman"/>
          <w:sz w:val="24"/>
          <w:szCs w:val="24"/>
          <w:vertAlign w:val="baseline"/>
          <w:lang w:eastAsia="en-US"/>
        </w:rPr>
        <w:t xml:space="preserve">: le type d’agression subie devance de loin les caractéristiques de la victime, </w:t>
      </w:r>
      <w:r w:rsidRPr="006C072E">
        <w:rPr>
          <w:rFonts w:eastAsia="Times New Roman" w:cs="Times New Roman"/>
          <w:i/>
          <w:iCs/>
          <w:sz w:val="24"/>
          <w:szCs w:val="24"/>
          <w:vertAlign w:val="baseline"/>
          <w:lang w:eastAsia="en-US"/>
        </w:rPr>
        <w:t>Économie et Statistique</w:t>
      </w:r>
      <w:r w:rsidRPr="006C072E">
        <w:rPr>
          <w:rFonts w:eastAsia="Times New Roman" w:cs="Times New Roman"/>
          <w:sz w:val="24"/>
          <w:szCs w:val="24"/>
          <w:vertAlign w:val="baseline"/>
          <w:lang w:eastAsia="en-US"/>
        </w:rPr>
        <w:t xml:space="preserve">, 448-449, 107-127. </w:t>
      </w:r>
    </w:p>
    <w:p w:rsidR="00FE6C7D" w:rsidRPr="00333E7E" w:rsidRDefault="00FE6C7D" w:rsidP="00FE6C7D">
      <w:pPr>
        <w:spacing w:before="60"/>
        <w:ind w:left="284" w:hanging="284"/>
        <w:jc w:val="both"/>
        <w:rPr>
          <w:rFonts w:eastAsia="Times New Roman" w:cs="Times New Roman"/>
          <w:sz w:val="24"/>
          <w:szCs w:val="24"/>
          <w:vertAlign w:val="baseline"/>
          <w:lang w:eastAsia="en-US"/>
        </w:rPr>
      </w:pPr>
      <w:r w:rsidRPr="00333E7E">
        <w:rPr>
          <w:rFonts w:eastAsia="Times New Roman" w:cs="Times New Roman"/>
          <w:smallCaps/>
          <w:sz w:val="24"/>
          <w:szCs w:val="24"/>
          <w:vertAlign w:val="baseline"/>
          <w:lang w:eastAsia="en-US"/>
        </w:rPr>
        <w:t xml:space="preserve">Robert Ph., Zauberman R., Jouwahri F., </w:t>
      </w:r>
      <w:r w:rsidRPr="00333E7E">
        <w:rPr>
          <w:rFonts w:eastAsia="Times New Roman" w:cs="Times New Roman"/>
          <w:sz w:val="24"/>
          <w:szCs w:val="24"/>
          <w:vertAlign w:val="baseline"/>
          <w:lang w:eastAsia="en-US"/>
        </w:rPr>
        <w:t xml:space="preserve">2016, Un acteur méconnu: la victime entre sa victimation et la police, </w:t>
      </w:r>
      <w:r w:rsidRPr="00333E7E">
        <w:rPr>
          <w:rFonts w:eastAsia="Times New Roman" w:cs="Times New Roman"/>
          <w:i/>
          <w:sz w:val="24"/>
          <w:szCs w:val="24"/>
          <w:vertAlign w:val="baseline"/>
          <w:lang w:eastAsia="en-US"/>
        </w:rPr>
        <w:t xml:space="preserve">Déviance &amp; Société, 40, </w:t>
      </w:r>
      <w:r w:rsidRPr="00333E7E">
        <w:rPr>
          <w:rFonts w:eastAsia="Times New Roman" w:cs="Times New Roman"/>
          <w:sz w:val="24"/>
          <w:szCs w:val="24"/>
          <w:vertAlign w:val="baseline"/>
          <w:lang w:eastAsia="en-US"/>
        </w:rPr>
        <w:t>3, 273-303.</w:t>
      </w:r>
    </w:p>
    <w:p w:rsidR="00FE6C7D" w:rsidRPr="006C072E" w:rsidRDefault="00FE6C7D" w:rsidP="00FE6C7D">
      <w:pPr>
        <w:spacing w:before="60"/>
        <w:ind w:left="284" w:hanging="284"/>
        <w:jc w:val="both"/>
        <w:rPr>
          <w:rFonts w:eastAsia="Times New Roman" w:cs="Times New Roman"/>
          <w:sz w:val="24"/>
          <w:szCs w:val="24"/>
          <w:vertAlign w:val="baseline"/>
          <w:lang w:val="en-US" w:eastAsia="en-US"/>
        </w:rPr>
      </w:pPr>
      <w:bookmarkStart w:id="1" w:name="OLE_LINK4"/>
      <w:bookmarkStart w:id="2" w:name="OLE_LINK5"/>
      <w:bookmarkStart w:id="3" w:name="OLE_LINK6"/>
      <w:r w:rsidRPr="006C072E">
        <w:rPr>
          <w:rFonts w:eastAsia="Times New Roman" w:cs="Times New Roman"/>
          <w:smallCaps/>
          <w:sz w:val="24"/>
          <w:szCs w:val="24"/>
          <w:vertAlign w:val="baseline"/>
          <w:lang w:val="en-US" w:eastAsia="en-US"/>
        </w:rPr>
        <w:t>Robert Ph., Zauberman R., Miceli L., Névanen S., Didier E</w:t>
      </w:r>
      <w:r w:rsidRPr="006C072E">
        <w:rPr>
          <w:rFonts w:eastAsia="Times New Roman" w:cs="Times New Roman"/>
          <w:sz w:val="24"/>
          <w:szCs w:val="24"/>
          <w:vertAlign w:val="baseline"/>
          <w:lang w:val="en-US" w:eastAsia="en-US"/>
        </w:rPr>
        <w:t>., 2010,</w:t>
      </w:r>
      <w:bookmarkEnd w:id="1"/>
      <w:bookmarkEnd w:id="2"/>
      <w:bookmarkEnd w:id="3"/>
      <w:r w:rsidRPr="006C072E">
        <w:rPr>
          <w:rFonts w:eastAsia="Times New Roman" w:cs="Times New Roman"/>
          <w:sz w:val="24"/>
          <w:szCs w:val="24"/>
          <w:vertAlign w:val="baseline"/>
          <w:lang w:val="en-US" w:eastAsia="en-US"/>
        </w:rPr>
        <w:t xml:space="preserve"> The Victim’s Decision to Report Offences to the Police in France: Stating Losses or Expressing Attitudes, </w:t>
      </w:r>
      <w:r w:rsidRPr="006C072E">
        <w:rPr>
          <w:rFonts w:eastAsia="Times New Roman" w:cs="Times New Roman"/>
          <w:i/>
          <w:iCs/>
          <w:sz w:val="24"/>
          <w:szCs w:val="24"/>
          <w:vertAlign w:val="baseline"/>
          <w:lang w:val="en-US" w:eastAsia="en-US"/>
        </w:rPr>
        <w:t>International Review of Victimology,</w:t>
      </w:r>
      <w:r w:rsidRPr="006C072E">
        <w:rPr>
          <w:rFonts w:eastAsia="Times New Roman" w:cs="Times New Roman"/>
          <w:sz w:val="24"/>
          <w:szCs w:val="24"/>
          <w:vertAlign w:val="baseline"/>
          <w:lang w:val="en-US" w:eastAsia="en-US"/>
        </w:rPr>
        <w:t xml:space="preserve"> 17, 2, 179-207.</w:t>
      </w:r>
    </w:p>
    <w:p w:rsidR="00FE6C7D" w:rsidRPr="006C072E" w:rsidRDefault="00FE6C7D" w:rsidP="00FE6C7D">
      <w:pPr>
        <w:spacing w:before="60"/>
        <w:ind w:left="284" w:hanging="284"/>
        <w:jc w:val="both"/>
        <w:rPr>
          <w:rFonts w:eastAsia="Calibri" w:cs="Times New Roman"/>
          <w:sz w:val="24"/>
          <w:szCs w:val="24"/>
          <w:vertAlign w:val="baseline"/>
          <w:lang w:val="en-US" w:eastAsia="en-US"/>
        </w:rPr>
      </w:pPr>
      <w:r w:rsidRPr="006C072E">
        <w:rPr>
          <w:rFonts w:eastAsia="Times New Roman" w:cs="Times New Roman"/>
          <w:smallCaps/>
          <w:sz w:val="24"/>
          <w:szCs w:val="24"/>
          <w:vertAlign w:val="baseline"/>
          <w:lang w:val="en-US" w:eastAsia="en-US"/>
        </w:rPr>
        <w:t>Zauberman R</w:t>
      </w:r>
      <w:r w:rsidRPr="006C072E">
        <w:rPr>
          <w:rFonts w:eastAsia="Times New Roman" w:cs="Times New Roman"/>
          <w:sz w:val="24"/>
          <w:szCs w:val="24"/>
          <w:vertAlign w:val="baseline"/>
          <w:lang w:val="en-US" w:eastAsia="en-US"/>
        </w:rPr>
        <w:t xml:space="preserve">., 2010, Crime Victims and the Criminal Justice System : An Illustration from a French Regional </w:t>
      </w:r>
      <w:proofErr w:type="spellStart"/>
      <w:r w:rsidRPr="006C072E">
        <w:rPr>
          <w:rFonts w:eastAsia="Times New Roman" w:cs="Times New Roman"/>
          <w:sz w:val="24"/>
          <w:szCs w:val="24"/>
          <w:vertAlign w:val="baseline"/>
          <w:lang w:val="en-US" w:eastAsia="en-US"/>
        </w:rPr>
        <w:t>Victimisation</w:t>
      </w:r>
      <w:proofErr w:type="spellEnd"/>
      <w:r w:rsidRPr="006C072E">
        <w:rPr>
          <w:rFonts w:eastAsia="Times New Roman" w:cs="Times New Roman"/>
          <w:sz w:val="24"/>
          <w:szCs w:val="24"/>
          <w:vertAlign w:val="baseline"/>
          <w:lang w:val="en-US" w:eastAsia="en-US"/>
        </w:rPr>
        <w:t xml:space="preserve"> Survey, </w:t>
      </w:r>
      <w:r w:rsidRPr="006C072E">
        <w:rPr>
          <w:rFonts w:eastAsia="Times New Roman" w:cs="Times New Roman"/>
          <w:i/>
          <w:sz w:val="24"/>
          <w:szCs w:val="24"/>
          <w:vertAlign w:val="baseline"/>
          <w:lang w:val="en-US" w:eastAsia="en-US"/>
        </w:rPr>
        <w:t xml:space="preserve">in </w:t>
      </w:r>
      <w:proofErr w:type="spellStart"/>
      <w:r w:rsidRPr="006C072E">
        <w:rPr>
          <w:rFonts w:eastAsia="Times New Roman" w:cs="Times New Roman"/>
          <w:smallCaps/>
          <w:sz w:val="24"/>
          <w:szCs w:val="24"/>
          <w:vertAlign w:val="baseline"/>
          <w:lang w:val="en-US" w:eastAsia="en-US"/>
        </w:rPr>
        <w:t>Mehra</w:t>
      </w:r>
      <w:proofErr w:type="spellEnd"/>
      <w:r w:rsidRPr="006C072E">
        <w:rPr>
          <w:rFonts w:eastAsia="Times New Roman" w:cs="Times New Roman"/>
          <w:smallCaps/>
          <w:sz w:val="24"/>
          <w:szCs w:val="24"/>
          <w:vertAlign w:val="baseline"/>
          <w:lang w:val="en-US" w:eastAsia="en-US"/>
        </w:rPr>
        <w:t xml:space="preserve"> A.K., Levy R. (</w:t>
      </w:r>
      <w:proofErr w:type="spellStart"/>
      <w:r w:rsidRPr="006C072E">
        <w:rPr>
          <w:rFonts w:eastAsia="Times New Roman" w:cs="Times New Roman"/>
          <w:sz w:val="24"/>
          <w:szCs w:val="24"/>
          <w:vertAlign w:val="baseline"/>
          <w:lang w:val="en-US" w:eastAsia="en-US"/>
        </w:rPr>
        <w:t>eds</w:t>
      </w:r>
      <w:proofErr w:type="spellEnd"/>
      <w:r w:rsidRPr="006C072E">
        <w:rPr>
          <w:rFonts w:eastAsia="Times New Roman" w:cs="Times New Roman"/>
          <w:smallCaps/>
          <w:sz w:val="24"/>
          <w:szCs w:val="24"/>
          <w:vertAlign w:val="baseline"/>
          <w:lang w:val="en-US" w:eastAsia="en-US"/>
        </w:rPr>
        <w:t xml:space="preserve">), </w:t>
      </w:r>
      <w:r w:rsidRPr="006C072E">
        <w:rPr>
          <w:rFonts w:eastAsia="Times New Roman" w:cs="Times New Roman"/>
          <w:i/>
          <w:sz w:val="24"/>
          <w:szCs w:val="24"/>
          <w:vertAlign w:val="baseline"/>
          <w:lang w:val="en-US" w:eastAsia="en-US"/>
        </w:rPr>
        <w:t xml:space="preserve">The Police, State and Society: Perspectives from India and France, </w:t>
      </w:r>
      <w:r w:rsidRPr="006C072E">
        <w:rPr>
          <w:rFonts w:eastAsia="Times New Roman" w:cs="Times New Roman"/>
          <w:sz w:val="24"/>
          <w:szCs w:val="24"/>
          <w:vertAlign w:val="baseline"/>
          <w:lang w:val="en-US" w:eastAsia="en-US"/>
        </w:rPr>
        <w:t>New Delhi, Pearson, 109-130.</w:t>
      </w:r>
    </w:p>
    <w:p w:rsidR="00FE6C7D" w:rsidRPr="00333E7E" w:rsidRDefault="00FE6C7D" w:rsidP="00FE6C7D">
      <w:pPr>
        <w:jc w:val="both"/>
        <w:rPr>
          <w:lang w:val="en-GB"/>
        </w:rPr>
      </w:pPr>
    </w:p>
    <w:p w:rsidR="00FE6C7D" w:rsidRPr="00FE6C7D" w:rsidRDefault="00FE6C7D" w:rsidP="00FE6C7D">
      <w:pPr>
        <w:jc w:val="both"/>
        <w:rPr>
          <w:rFonts w:eastAsia="Calibri" w:cs="Times New Roman"/>
          <w:sz w:val="24"/>
          <w:szCs w:val="24"/>
          <w:vertAlign w:val="baseline"/>
          <w:lang w:val="en-GB" w:eastAsia="en-US"/>
        </w:rPr>
      </w:pPr>
    </w:p>
    <w:p w:rsidR="00FE6C7D" w:rsidRPr="00FE6C7D" w:rsidRDefault="00FE6C7D" w:rsidP="00FE6C7D">
      <w:pPr>
        <w:spacing w:before="240"/>
        <w:jc w:val="both"/>
        <w:rPr>
          <w:rFonts w:eastAsia="Calibri" w:cs="Times New Roman"/>
          <w:sz w:val="24"/>
          <w:szCs w:val="24"/>
          <w:vertAlign w:val="baseline"/>
          <w:lang w:val="en-GB" w:eastAsia="en-US"/>
        </w:rPr>
      </w:pPr>
    </w:p>
    <w:p w:rsidR="009F4C8C" w:rsidRPr="00FE6C7D" w:rsidRDefault="009F4C8C">
      <w:pPr>
        <w:rPr>
          <w:lang w:val="en-GB"/>
        </w:rPr>
      </w:pPr>
    </w:p>
    <w:sectPr w:rsidR="009F4C8C" w:rsidRPr="00FE6C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93" w:rsidRDefault="00026A93" w:rsidP="00FE6C7D">
      <w:r>
        <w:separator/>
      </w:r>
    </w:p>
  </w:endnote>
  <w:endnote w:type="continuationSeparator" w:id="0">
    <w:p w:rsidR="00026A93" w:rsidRDefault="00026A93" w:rsidP="00FE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93" w:rsidRDefault="00026A93" w:rsidP="00FE6C7D">
      <w:r>
        <w:separator/>
      </w:r>
    </w:p>
  </w:footnote>
  <w:footnote w:type="continuationSeparator" w:id="0">
    <w:p w:rsidR="00026A93" w:rsidRDefault="00026A93" w:rsidP="00FE6C7D">
      <w:r>
        <w:continuationSeparator/>
      </w:r>
    </w:p>
  </w:footnote>
  <w:footnote w:id="1">
    <w:p w:rsidR="00FE6C7D" w:rsidRPr="00F03E30" w:rsidRDefault="00FE6C7D" w:rsidP="00FE6C7D">
      <w:pPr>
        <w:pStyle w:val="Notedebasdepage"/>
        <w:jc w:val="both"/>
        <w:rPr>
          <w:rFonts w:ascii="Garamond" w:hAnsi="Garamond"/>
          <w:lang w:val="en-US"/>
        </w:rPr>
      </w:pPr>
      <w:r w:rsidRPr="00F03E30">
        <w:rPr>
          <w:rStyle w:val="Appelnotedebasdep"/>
        </w:rPr>
        <w:footnoteRef/>
      </w:r>
      <w:r w:rsidRPr="00F03E30">
        <w:rPr>
          <w:rFonts w:ascii="Garamond" w:hAnsi="Garamond"/>
          <w:lang w:val="en-US"/>
        </w:rPr>
        <w:t xml:space="preserve"> Zauberman, </w:t>
      </w:r>
      <w:proofErr w:type="gramStart"/>
      <w:r w:rsidRPr="00F03E30">
        <w:rPr>
          <w:rFonts w:ascii="Garamond" w:hAnsi="Garamond"/>
          <w:lang w:val="en-US"/>
        </w:rPr>
        <w:t>2010 ;</w:t>
      </w:r>
      <w:proofErr w:type="gramEnd"/>
      <w:r w:rsidRPr="00F03E30">
        <w:rPr>
          <w:rFonts w:ascii="Garamond" w:hAnsi="Garamond"/>
          <w:lang w:val="en-US"/>
        </w:rPr>
        <w:t xml:space="preserve"> Robert </w:t>
      </w:r>
      <w:r w:rsidRPr="00F03E30">
        <w:rPr>
          <w:rFonts w:ascii="Garamond" w:hAnsi="Garamond"/>
          <w:i/>
          <w:lang w:val="en-US"/>
        </w:rPr>
        <w:t xml:space="preserve">&amp; al., </w:t>
      </w:r>
      <w:r w:rsidRPr="00F03E30">
        <w:rPr>
          <w:rFonts w:ascii="Garamond" w:hAnsi="Garamond"/>
          <w:lang w:val="en-US"/>
        </w:rPr>
        <w:t xml:space="preserve">2010 ; Carrasco </w:t>
      </w:r>
      <w:r w:rsidRPr="00F03E30">
        <w:rPr>
          <w:rFonts w:ascii="Garamond" w:hAnsi="Garamond"/>
          <w:i/>
          <w:lang w:val="en-US"/>
        </w:rPr>
        <w:t>&amp; al.</w:t>
      </w:r>
      <w:r w:rsidRPr="00F03E30">
        <w:rPr>
          <w:rFonts w:ascii="Garamond" w:hAnsi="Garamond"/>
          <w:lang w:val="en-US"/>
        </w:rPr>
        <w:t>, 2011.</w:t>
      </w:r>
    </w:p>
  </w:footnote>
  <w:footnote w:id="2">
    <w:p w:rsidR="00FE6C7D" w:rsidRPr="00F03E30" w:rsidRDefault="00FE6C7D" w:rsidP="00FE6C7D">
      <w:pPr>
        <w:pStyle w:val="Notedebasdepage"/>
        <w:jc w:val="both"/>
        <w:rPr>
          <w:rFonts w:ascii="Garamond" w:hAnsi="Garamond"/>
        </w:rPr>
      </w:pPr>
      <w:r w:rsidRPr="00F03E30">
        <w:rPr>
          <w:rStyle w:val="Appelnotedebasdep"/>
        </w:rPr>
        <w:footnoteRef/>
      </w:r>
      <w:r w:rsidRPr="00F03E30">
        <w:rPr>
          <w:rFonts w:ascii="Garamond" w:hAnsi="Garamond"/>
        </w:rPr>
        <w:t xml:space="preserve"> Qui n’ont été introduites que tardivement dans les enquêtes nationales et selon des modalités qui rendent les comparaisons difficiles avec les autres victimations, en particulier parce que la population de référence n’est pas la même.</w:t>
      </w:r>
    </w:p>
  </w:footnote>
  <w:footnote w:id="3">
    <w:p w:rsidR="00FE6C7D" w:rsidRPr="00F03E30" w:rsidRDefault="00FE6C7D" w:rsidP="00FE6C7D">
      <w:pPr>
        <w:pStyle w:val="Notedebasdepage"/>
        <w:jc w:val="both"/>
        <w:rPr>
          <w:rFonts w:ascii="Garamond" w:hAnsi="Garamond"/>
          <w:i/>
        </w:rPr>
      </w:pPr>
      <w:r w:rsidRPr="00F03E30">
        <w:rPr>
          <w:rStyle w:val="Appelnotedebasdep"/>
        </w:rPr>
        <w:footnoteRef/>
      </w:r>
      <w:r w:rsidRPr="00F03E30">
        <w:rPr>
          <w:rFonts w:ascii="Garamond" w:hAnsi="Garamond"/>
        </w:rPr>
        <w:t xml:space="preserve"> Robert </w:t>
      </w:r>
      <w:r w:rsidRPr="00F03E30">
        <w:rPr>
          <w:rFonts w:ascii="Garamond" w:hAnsi="Garamond"/>
          <w:i/>
        </w:rPr>
        <w:t>&amp; al.</w:t>
      </w:r>
      <w:r w:rsidRPr="00F03E30">
        <w:rPr>
          <w:rFonts w:ascii="Garamond" w:hAnsi="Garamond"/>
        </w:rPr>
        <w:t>,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7D"/>
    <w:rsid w:val="0002106C"/>
    <w:rsid w:val="00026A93"/>
    <w:rsid w:val="00057F75"/>
    <w:rsid w:val="00131A29"/>
    <w:rsid w:val="00225E23"/>
    <w:rsid w:val="00252C18"/>
    <w:rsid w:val="005D26C4"/>
    <w:rsid w:val="00677D94"/>
    <w:rsid w:val="00970A84"/>
    <w:rsid w:val="009F4C8C"/>
    <w:rsid w:val="00A00857"/>
    <w:rsid w:val="00AA1B9A"/>
    <w:rsid w:val="00B866D3"/>
    <w:rsid w:val="00CF7E3E"/>
    <w:rsid w:val="00D36DF1"/>
    <w:rsid w:val="00DF2773"/>
    <w:rsid w:val="00FE6C7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7D"/>
    <w:pPr>
      <w:spacing w:after="0" w:line="240" w:lineRule="auto"/>
    </w:pPr>
    <w:rPr>
      <w:rFonts w:ascii="Garamond" w:eastAsiaTheme="minorEastAsia" w:hAnsi="Garamond" w:cs="Garamond"/>
      <w:sz w:val="20"/>
      <w:szCs w:val="20"/>
      <w:vertAlign w:val="superscript"/>
      <w:lang w:eastAsia="fr-FR"/>
    </w:rPr>
  </w:style>
  <w:style w:type="paragraph" w:styleId="Titre1">
    <w:name w:val="heading 1"/>
    <w:basedOn w:val="Normal"/>
    <w:next w:val="Normal"/>
    <w:link w:val="Titre1Car"/>
    <w:uiPriority w:val="9"/>
    <w:qFormat/>
    <w:rsid w:val="00225E23"/>
    <w:pPr>
      <w:keepNext/>
      <w:keepLines/>
      <w:spacing w:before="480"/>
      <w:jc w:val="center"/>
      <w:outlineLvl w:val="0"/>
    </w:pPr>
    <w:rPr>
      <w:rFonts w:eastAsiaTheme="majorEastAsia" w:cstheme="majorBidi"/>
      <w:b/>
      <w:bCs/>
      <w:color w:val="365F91" w:themeColor="accent1" w:themeShade="BF"/>
      <w:sz w:val="28"/>
      <w:szCs w:val="28"/>
      <w:vertAlign w:val="baseline"/>
      <w:lang w:eastAsia="en-US"/>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eastAsiaTheme="majorEastAsia" w:cstheme="majorBidi"/>
      <w:b/>
      <w:bCs/>
      <w:color w:val="4F81BD" w:themeColor="accent1"/>
      <w:sz w:val="26"/>
      <w:szCs w:val="26"/>
      <w:vertAlign w:val="baselin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vertAlign w:val="baseline"/>
      <w:lang w:eastAsia="en-US"/>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character" w:styleId="Appelnotedebasdep">
    <w:name w:val="footnote reference"/>
    <w:aliases w:val="gar"/>
    <w:basedOn w:val="Policepardfaut"/>
    <w:semiHidden/>
    <w:unhideWhenUsed/>
    <w:qFormat/>
    <w:rsid w:val="00FE6C7D"/>
    <w:rPr>
      <w:rFonts w:ascii="Garamond" w:hAnsi="Garamond"/>
      <w:b w:val="0"/>
      <w:i w:val="0"/>
      <w:caps w:val="0"/>
      <w:smallCaps w:val="0"/>
      <w:strike w:val="0"/>
      <w:dstrike w:val="0"/>
      <w:vanish w:val="0"/>
      <w:sz w:val="24"/>
      <w:vertAlign w:val="superscript"/>
    </w:rPr>
  </w:style>
  <w:style w:type="paragraph" w:styleId="Notedebasdepage">
    <w:name w:val="footnote text"/>
    <w:basedOn w:val="Normal"/>
    <w:link w:val="NotedebasdepageCar"/>
    <w:uiPriority w:val="99"/>
    <w:unhideWhenUsed/>
    <w:qFormat/>
    <w:rsid w:val="00FE6C7D"/>
    <w:rPr>
      <w:rFonts w:asciiTheme="minorHAnsi" w:eastAsiaTheme="minorHAnsi" w:hAnsiTheme="minorHAnsi" w:cstheme="minorBidi"/>
      <w:vertAlign w:val="baseline"/>
      <w:lang w:eastAsia="en-US"/>
    </w:rPr>
  </w:style>
  <w:style w:type="character" w:customStyle="1" w:styleId="NotedebasdepageCar">
    <w:name w:val="Note de bas de page Car"/>
    <w:basedOn w:val="Policepardfaut"/>
    <w:link w:val="Notedebasdepage"/>
    <w:uiPriority w:val="99"/>
    <w:rsid w:val="00FE6C7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7D"/>
    <w:pPr>
      <w:spacing w:after="0" w:line="240" w:lineRule="auto"/>
    </w:pPr>
    <w:rPr>
      <w:rFonts w:ascii="Garamond" w:eastAsiaTheme="minorEastAsia" w:hAnsi="Garamond" w:cs="Garamond"/>
      <w:sz w:val="20"/>
      <w:szCs w:val="20"/>
      <w:vertAlign w:val="superscript"/>
      <w:lang w:eastAsia="fr-FR"/>
    </w:rPr>
  </w:style>
  <w:style w:type="paragraph" w:styleId="Titre1">
    <w:name w:val="heading 1"/>
    <w:basedOn w:val="Normal"/>
    <w:next w:val="Normal"/>
    <w:link w:val="Titre1Car"/>
    <w:uiPriority w:val="9"/>
    <w:qFormat/>
    <w:rsid w:val="00225E23"/>
    <w:pPr>
      <w:keepNext/>
      <w:keepLines/>
      <w:spacing w:before="480"/>
      <w:jc w:val="center"/>
      <w:outlineLvl w:val="0"/>
    </w:pPr>
    <w:rPr>
      <w:rFonts w:eastAsiaTheme="majorEastAsia" w:cstheme="majorBidi"/>
      <w:b/>
      <w:bCs/>
      <w:color w:val="365F91" w:themeColor="accent1" w:themeShade="BF"/>
      <w:sz w:val="28"/>
      <w:szCs w:val="28"/>
      <w:vertAlign w:val="baseline"/>
      <w:lang w:eastAsia="en-US"/>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eastAsiaTheme="majorEastAsia" w:cstheme="majorBidi"/>
      <w:b/>
      <w:bCs/>
      <w:color w:val="4F81BD" w:themeColor="accent1"/>
      <w:sz w:val="26"/>
      <w:szCs w:val="26"/>
      <w:vertAlign w:val="baselin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vertAlign w:val="baseline"/>
      <w:lang w:eastAsia="en-US"/>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character" w:styleId="Appelnotedebasdep">
    <w:name w:val="footnote reference"/>
    <w:aliases w:val="gar"/>
    <w:basedOn w:val="Policepardfaut"/>
    <w:semiHidden/>
    <w:unhideWhenUsed/>
    <w:qFormat/>
    <w:rsid w:val="00FE6C7D"/>
    <w:rPr>
      <w:rFonts w:ascii="Garamond" w:hAnsi="Garamond"/>
      <w:b w:val="0"/>
      <w:i w:val="0"/>
      <w:caps w:val="0"/>
      <w:smallCaps w:val="0"/>
      <w:strike w:val="0"/>
      <w:dstrike w:val="0"/>
      <w:vanish w:val="0"/>
      <w:sz w:val="24"/>
      <w:vertAlign w:val="superscript"/>
    </w:rPr>
  </w:style>
  <w:style w:type="paragraph" w:styleId="Notedebasdepage">
    <w:name w:val="footnote text"/>
    <w:basedOn w:val="Normal"/>
    <w:link w:val="NotedebasdepageCar"/>
    <w:uiPriority w:val="99"/>
    <w:unhideWhenUsed/>
    <w:qFormat/>
    <w:rsid w:val="00FE6C7D"/>
    <w:rPr>
      <w:rFonts w:asciiTheme="minorHAnsi" w:eastAsiaTheme="minorHAnsi" w:hAnsiTheme="minorHAnsi" w:cstheme="minorBidi"/>
      <w:vertAlign w:val="baseline"/>
      <w:lang w:eastAsia="en-US"/>
    </w:rPr>
  </w:style>
  <w:style w:type="character" w:customStyle="1" w:styleId="NotedebasdepageCar">
    <w:name w:val="Note de bas de page Car"/>
    <w:basedOn w:val="Policepardfaut"/>
    <w:link w:val="Notedebasdepage"/>
    <w:uiPriority w:val="99"/>
    <w:rsid w:val="00FE6C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6001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philrobe</dc:creator>
  <cp:lastModifiedBy>cesdipadm</cp:lastModifiedBy>
  <cp:revision>2</cp:revision>
  <dcterms:created xsi:type="dcterms:W3CDTF">2019-05-20T14:16:00Z</dcterms:created>
  <dcterms:modified xsi:type="dcterms:W3CDTF">2019-05-20T14:16:00Z</dcterms:modified>
</cp:coreProperties>
</file>