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C" w:rsidRDefault="00A03C8D" w:rsidP="00A03C8D">
      <w:pPr>
        <w:pStyle w:val="Titre1"/>
      </w:pPr>
      <w:bookmarkStart w:id="0" w:name="_GoBack"/>
      <w:bookmarkEnd w:id="0"/>
      <w:r w:rsidRPr="00A03C8D">
        <w:t>Police et assurance dans le traitement des victimations</w:t>
      </w:r>
    </w:p>
    <w:p w:rsidR="00A03C8D" w:rsidRDefault="00A03C8D" w:rsidP="00A03C8D"/>
    <w:p w:rsidR="00A03C8D" w:rsidRDefault="00A03C8D" w:rsidP="00A03C8D">
      <w:r>
        <w:tab/>
        <w:t>Toutefois, les enquêtes laissent à voir des résultats un peu différents. A l’échelle nationale, le recours à l’assurance excède un peu le dépôt de plainte pour les atteintes aux voitures (vols de et dans les voitures et surtout dégradations). Comme le même excès s’observe aussi à l’échelle francilienne, on incline à penser que les compagnies d’assurances se contentent parfois, en matière automobile, de récépissés de signalement à la police sans exiger toujours de dépôt formel de plainte ; peut-être même s’en passent-elles complètement dans certains cas (dégradations de véhicules</w:t>
      </w:r>
      <w:r>
        <w:rPr>
          <w:rStyle w:val="Appelnotedebasdep"/>
        </w:rPr>
        <w:footnoteReference w:id="1"/>
      </w:r>
      <w:r>
        <w:t xml:space="preserve">). En région parisienne, l’excès du recours à l’assurance par rapport au dépôt de plainte est systématique, sauf pour quelques victimations à faible recours à l’assurance (vol de vélo, vol personnel, agression physique, autre agression). Comme on ne peut guère supposer des pratiques assurantielles particulières à cette région, il faut se demander si la distribution de récépissés policiers sans dépôt de plainte formel n’y est pas plus répandue qu’ailleurs. </w:t>
      </w:r>
    </w:p>
    <w:p w:rsidR="00A03C8D" w:rsidRDefault="00A03C8D" w:rsidP="00A03C8D">
      <w:r>
        <w:tab/>
        <w:t xml:space="preserve">Il serait pourtant aventuré de conclure trop vite à une émancipation de l’assurance. D’abord, nous comparons dans les enquêtes des blocs de questions (sur le renvoi à la police et celui à l’assurance) construits assez différemment ; de différences de scores souvent modérées, il ne faut pas trop se presser de tirer des conclusions radicales. Et surtout, même si le préalable du dépôt de plainte n’est peut-être pas toujours respecté, du moins celui du renvoi à la police semble bien de règle. Pour le moment en tout cas, le mécanisme de dépendance de l’assurance par rapport au pénal semble résister. Les compagnies d’assurance y ont (au moins théoriquement) intérêt pour prévenir la tentation de déclaration fausse ou exagérée. Mais cette précaution conservera-t-elle sa force indéfiniment ? L’extrême faiblesse des taux d’élucidation de la délinquance patrimoniale manifeste un désinvestissement policier vis-à-vis de ce contentieux, de sorte que la garantie que le dépôt de plainte semble promettre à l’assureur peut finir par paraître assez illusoire. </w:t>
      </w:r>
    </w:p>
    <w:p w:rsidR="00A03C8D" w:rsidRDefault="00A03C8D" w:rsidP="00A03C8D">
      <w:r>
        <w:tab/>
        <w:t>Le poids de l’assurance dans le traitement des victimations est à chercher ailleurs : c’est bien souvent parce qu’elle souhaite faire ensuite une déclaration de sinistre que la victime se décide à avertir la police et, plus encore, à déposer formellement plainte</w:t>
      </w:r>
      <w:r>
        <w:rPr>
          <w:rStyle w:val="Appelnotedebasdep"/>
        </w:rPr>
        <w:footnoteReference w:id="2"/>
      </w:r>
      <w:r>
        <w:t xml:space="preserve">. Autrement dit, sans la perspective d’une indemnisation assurantielle ultérieure, le recours à la police risquerait de baisser drastiquement… au moins, bien entendu, pour la délinquance patrimoniale. </w:t>
      </w:r>
    </w:p>
    <w:p w:rsidR="00A03C8D" w:rsidRDefault="00A03C8D" w:rsidP="00A03C8D"/>
    <w:p w:rsidR="002F495A" w:rsidRDefault="002F495A" w:rsidP="002F495A">
      <w:pPr>
        <w:pStyle w:val="Titre1"/>
      </w:pPr>
      <w:r>
        <w:t>Référence</w:t>
      </w:r>
    </w:p>
    <w:p w:rsidR="002F495A" w:rsidRDefault="002F495A" w:rsidP="002F495A"/>
    <w:p w:rsidR="002F495A" w:rsidRPr="00421BE1" w:rsidRDefault="002F495A" w:rsidP="002F495A">
      <w:r>
        <w:t xml:space="preserve">Robert Ph., Zauberman R., Jouwahri F., </w:t>
      </w:r>
      <w:r w:rsidRPr="000152DC">
        <w:rPr>
          <w:rFonts w:cs="Arial"/>
          <w:szCs w:val="24"/>
        </w:rPr>
        <w:t>Un acteur méconnu : la victime entre sa victimation et la police</w:t>
      </w:r>
      <w:r>
        <w:rPr>
          <w:rFonts w:cs="Arial"/>
          <w:szCs w:val="24"/>
        </w:rPr>
        <w:t xml:space="preserve">, </w:t>
      </w:r>
      <w:r>
        <w:rPr>
          <w:rFonts w:cs="Arial"/>
          <w:i/>
          <w:szCs w:val="24"/>
        </w:rPr>
        <w:t xml:space="preserve">Déviance &amp; Société, </w:t>
      </w:r>
      <w:r>
        <w:rPr>
          <w:rFonts w:cs="Arial"/>
          <w:szCs w:val="24"/>
        </w:rPr>
        <w:t xml:space="preserve">2016, 40, 3, 273-304. </w:t>
      </w:r>
    </w:p>
    <w:p w:rsidR="00A03C8D" w:rsidRPr="00A03C8D" w:rsidRDefault="00A03C8D" w:rsidP="00A03C8D">
      <w:pPr>
        <w:rPr>
          <w:b/>
        </w:rPr>
      </w:pPr>
    </w:p>
    <w:sectPr w:rsidR="00A03C8D" w:rsidRPr="00A0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CE" w:rsidRDefault="007B1BCE" w:rsidP="00A03C8D">
      <w:r>
        <w:separator/>
      </w:r>
    </w:p>
  </w:endnote>
  <w:endnote w:type="continuationSeparator" w:id="0">
    <w:p w:rsidR="007B1BCE" w:rsidRDefault="007B1BCE" w:rsidP="00A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CE" w:rsidRDefault="007B1BCE" w:rsidP="00A03C8D">
      <w:r>
        <w:separator/>
      </w:r>
    </w:p>
  </w:footnote>
  <w:footnote w:type="continuationSeparator" w:id="0">
    <w:p w:rsidR="007B1BCE" w:rsidRDefault="007B1BCE" w:rsidP="00A03C8D">
      <w:r>
        <w:continuationSeparator/>
      </w:r>
    </w:p>
  </w:footnote>
  <w:footnote w:id="1">
    <w:p w:rsidR="00A03C8D" w:rsidRDefault="00A03C8D" w:rsidP="00A03C8D">
      <w:pPr>
        <w:pStyle w:val="Notedebasdepage"/>
      </w:pPr>
      <w:r>
        <w:rPr>
          <w:rStyle w:val="Appelnotedebasdep"/>
        </w:rPr>
        <w:footnoteRef/>
      </w:r>
      <w:r>
        <w:t xml:space="preserve"> Dans ce dernier cas, la déclaration de sinistre est même plus fréquente que l’ensemble des renvois à la police.</w:t>
      </w:r>
    </w:p>
  </w:footnote>
  <w:footnote w:id="2">
    <w:p w:rsidR="00A03C8D" w:rsidRDefault="00A03C8D" w:rsidP="00A03C8D">
      <w:pPr>
        <w:pStyle w:val="Notedebasdepage"/>
      </w:pPr>
      <w:r>
        <w:rPr>
          <w:rStyle w:val="Appelnotedebasdep"/>
        </w:rPr>
        <w:footnoteRef/>
      </w:r>
      <w:r>
        <w:t xml:space="preserve"> Robert </w:t>
      </w:r>
      <w:r w:rsidRPr="00421BE1">
        <w:rPr>
          <w:i/>
        </w:rPr>
        <w:t xml:space="preserve">&amp; </w:t>
      </w:r>
      <w:proofErr w:type="gramStart"/>
      <w:r w:rsidRPr="00421BE1">
        <w:rPr>
          <w:i/>
        </w:rPr>
        <w:t>al.</w:t>
      </w:r>
      <w:r>
        <w:t>,</w:t>
      </w:r>
      <w:proofErr w:type="gramEnd"/>
      <w:r>
        <w:t xml:space="preserve"> 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D"/>
    <w:rsid w:val="0002106C"/>
    <w:rsid w:val="00057F75"/>
    <w:rsid w:val="00131A29"/>
    <w:rsid w:val="00225E23"/>
    <w:rsid w:val="00252C18"/>
    <w:rsid w:val="002F495A"/>
    <w:rsid w:val="007B1BCE"/>
    <w:rsid w:val="00885335"/>
    <w:rsid w:val="00970A84"/>
    <w:rsid w:val="009F4C8C"/>
    <w:rsid w:val="00A00857"/>
    <w:rsid w:val="00A03C8D"/>
    <w:rsid w:val="00B866D3"/>
    <w:rsid w:val="00CF7E3E"/>
    <w:rsid w:val="00D01137"/>
    <w:rsid w:val="00DB2EF0"/>
    <w:rsid w:val="00D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3"/>
    <w:pPr>
      <w:spacing w:after="0" w:line="240" w:lineRule="auto"/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25E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E2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225E23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E23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25E23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5E23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C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C8D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3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3"/>
    <w:pPr>
      <w:spacing w:after="0" w:line="240" w:lineRule="auto"/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25E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E2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225E23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E23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25E23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5E23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C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C8D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3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philrobe</dc:creator>
  <cp:lastModifiedBy>cesdipadm</cp:lastModifiedBy>
  <cp:revision>2</cp:revision>
  <dcterms:created xsi:type="dcterms:W3CDTF">2019-05-10T12:00:00Z</dcterms:created>
  <dcterms:modified xsi:type="dcterms:W3CDTF">2019-05-10T12:00:00Z</dcterms:modified>
</cp:coreProperties>
</file>